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670" w:rsidRPr="00CC5670" w:rsidRDefault="00CC5670" w:rsidP="00CC5670">
      <w:pPr>
        <w:ind w:firstLine="284"/>
        <w:jc w:val="both"/>
        <w:rPr>
          <w:rFonts w:cstheme="minorHAnsi"/>
          <w:sz w:val="24"/>
          <w:szCs w:val="24"/>
          <w:lang w:val="es-UY"/>
        </w:rPr>
      </w:pPr>
    </w:p>
    <w:p w:rsidR="00CC5670" w:rsidRPr="00CC5670" w:rsidRDefault="00CC5670" w:rsidP="00CC5670">
      <w:pPr>
        <w:ind w:firstLine="284"/>
        <w:jc w:val="center"/>
        <w:rPr>
          <w:rFonts w:cstheme="minorHAnsi"/>
          <w:b/>
          <w:sz w:val="24"/>
          <w:szCs w:val="24"/>
          <w:lang w:val="es-UY"/>
        </w:rPr>
      </w:pPr>
      <w:r>
        <w:rPr>
          <w:rFonts w:cstheme="minorHAnsi"/>
          <w:b/>
          <w:sz w:val="24"/>
          <w:szCs w:val="24"/>
          <w:lang w:val="es-UY"/>
        </w:rPr>
        <w:t xml:space="preserve">Ingreso de </w:t>
      </w:r>
      <w:r w:rsidR="004B22DE">
        <w:rPr>
          <w:rFonts w:cstheme="minorHAnsi"/>
          <w:b/>
          <w:sz w:val="24"/>
          <w:szCs w:val="24"/>
          <w:lang w:val="es-UY"/>
        </w:rPr>
        <w:t xml:space="preserve">nuevas </w:t>
      </w:r>
      <w:r>
        <w:rPr>
          <w:rFonts w:cstheme="minorHAnsi"/>
          <w:b/>
          <w:sz w:val="24"/>
          <w:szCs w:val="24"/>
          <w:lang w:val="es-UY"/>
        </w:rPr>
        <w:t>v</w:t>
      </w:r>
      <w:r w:rsidRPr="00CC5670">
        <w:rPr>
          <w:rFonts w:cstheme="minorHAnsi"/>
          <w:b/>
          <w:sz w:val="24"/>
          <w:szCs w:val="24"/>
          <w:lang w:val="es-UY"/>
        </w:rPr>
        <w:t xml:space="preserve">ariantes </w:t>
      </w:r>
      <w:r>
        <w:rPr>
          <w:rFonts w:cstheme="minorHAnsi"/>
          <w:b/>
          <w:sz w:val="24"/>
          <w:szCs w:val="24"/>
          <w:lang w:val="es-UY"/>
        </w:rPr>
        <w:t>de SARS-CoV-2 a</w:t>
      </w:r>
      <w:r w:rsidRPr="00CC5670">
        <w:rPr>
          <w:rFonts w:cstheme="minorHAnsi"/>
          <w:b/>
          <w:sz w:val="24"/>
          <w:szCs w:val="24"/>
          <w:lang w:val="es-UY"/>
        </w:rPr>
        <w:t>l país</w:t>
      </w:r>
    </w:p>
    <w:p w:rsidR="00CC5670" w:rsidRDefault="00CC5670" w:rsidP="00CC5670">
      <w:pPr>
        <w:ind w:firstLine="284"/>
        <w:jc w:val="both"/>
        <w:rPr>
          <w:rFonts w:cstheme="minorHAnsi"/>
          <w:sz w:val="24"/>
          <w:szCs w:val="24"/>
          <w:lang w:val="es-UY"/>
        </w:rPr>
      </w:pPr>
    </w:p>
    <w:p w:rsidR="00CC5670" w:rsidRPr="00CC5670" w:rsidRDefault="00CC5670" w:rsidP="00CC5670">
      <w:pPr>
        <w:ind w:firstLine="284"/>
        <w:jc w:val="both"/>
        <w:rPr>
          <w:rFonts w:cstheme="minorHAnsi"/>
          <w:sz w:val="24"/>
          <w:szCs w:val="24"/>
          <w:lang w:val="es-UY"/>
        </w:rPr>
      </w:pPr>
      <w:r w:rsidRPr="00CC5670">
        <w:rPr>
          <w:rFonts w:cstheme="minorHAnsi"/>
          <w:sz w:val="24"/>
          <w:szCs w:val="24"/>
          <w:lang w:val="es-UY"/>
        </w:rPr>
        <w:t xml:space="preserve">El Grupo de Trabajo Interinstitucional </w:t>
      </w:r>
      <w:r w:rsidR="004B22DE">
        <w:rPr>
          <w:rFonts w:cstheme="minorHAnsi"/>
          <w:sz w:val="24"/>
          <w:szCs w:val="24"/>
          <w:lang w:val="es-UY"/>
        </w:rPr>
        <w:t xml:space="preserve">(GTI) </w:t>
      </w:r>
      <w:r w:rsidRPr="00CC5670">
        <w:rPr>
          <w:rFonts w:cstheme="minorHAnsi"/>
          <w:sz w:val="24"/>
          <w:szCs w:val="24"/>
          <w:lang w:val="es-UY"/>
        </w:rPr>
        <w:t>en Vigilancia Genómica de SARS-CoV-2 confirm</w:t>
      </w:r>
      <w:r w:rsidR="00605016">
        <w:rPr>
          <w:rFonts w:cstheme="minorHAnsi"/>
          <w:sz w:val="24"/>
          <w:szCs w:val="24"/>
          <w:lang w:val="es-UY"/>
        </w:rPr>
        <w:t>ó</w:t>
      </w:r>
      <w:r w:rsidRPr="00CC5670">
        <w:rPr>
          <w:rFonts w:cstheme="minorHAnsi"/>
          <w:sz w:val="24"/>
          <w:szCs w:val="24"/>
          <w:lang w:val="es-UY"/>
        </w:rPr>
        <w:t xml:space="preserve"> </w:t>
      </w:r>
      <w:r w:rsidR="00605016">
        <w:rPr>
          <w:rFonts w:cstheme="minorHAnsi"/>
          <w:sz w:val="24"/>
          <w:szCs w:val="24"/>
          <w:lang w:val="es-UY"/>
        </w:rPr>
        <w:t xml:space="preserve">este 17 de julio </w:t>
      </w:r>
      <w:r w:rsidRPr="00CC5670">
        <w:rPr>
          <w:rFonts w:cstheme="minorHAnsi"/>
          <w:sz w:val="24"/>
          <w:szCs w:val="24"/>
          <w:lang w:val="es-UY"/>
        </w:rPr>
        <w:t xml:space="preserve">la </w:t>
      </w:r>
      <w:r w:rsidR="00605016">
        <w:rPr>
          <w:rFonts w:cstheme="minorHAnsi"/>
          <w:sz w:val="24"/>
          <w:szCs w:val="24"/>
          <w:lang w:val="es-UY"/>
        </w:rPr>
        <w:t>detección</w:t>
      </w:r>
      <w:r w:rsidRPr="00CC5670">
        <w:rPr>
          <w:rFonts w:cstheme="minorHAnsi"/>
          <w:sz w:val="24"/>
          <w:szCs w:val="24"/>
          <w:lang w:val="es-UY"/>
        </w:rPr>
        <w:t xml:space="preserve"> por primera vez en el país </w:t>
      </w:r>
      <w:r w:rsidR="00605016">
        <w:rPr>
          <w:rFonts w:cstheme="minorHAnsi"/>
          <w:sz w:val="24"/>
          <w:szCs w:val="24"/>
          <w:lang w:val="es-UY"/>
        </w:rPr>
        <w:t xml:space="preserve">de </w:t>
      </w:r>
      <w:r w:rsidRPr="00CC5670">
        <w:rPr>
          <w:rFonts w:cstheme="minorHAnsi"/>
          <w:sz w:val="24"/>
          <w:szCs w:val="24"/>
          <w:lang w:val="es-UY"/>
        </w:rPr>
        <w:t>l</w:t>
      </w:r>
      <w:r w:rsidR="00605016">
        <w:rPr>
          <w:rFonts w:cstheme="minorHAnsi"/>
          <w:sz w:val="24"/>
          <w:szCs w:val="24"/>
          <w:lang w:val="es-UY"/>
        </w:rPr>
        <w:t>a</w:t>
      </w:r>
      <w:r w:rsidRPr="00CC5670">
        <w:rPr>
          <w:rFonts w:cstheme="minorHAnsi"/>
          <w:sz w:val="24"/>
          <w:szCs w:val="24"/>
          <w:lang w:val="es-UY"/>
        </w:rPr>
        <w:t>s variantes delta (india) y beta (sudafricana). Asimismo, detectó por segunda vez casos de la variante alfa (británica) y lambda (andina).</w:t>
      </w:r>
    </w:p>
    <w:p w:rsidR="000616A0" w:rsidRPr="00CC5670" w:rsidRDefault="00CC5670" w:rsidP="000616A0">
      <w:pPr>
        <w:ind w:firstLine="284"/>
        <w:jc w:val="both"/>
        <w:rPr>
          <w:rFonts w:cstheme="minorHAnsi"/>
          <w:sz w:val="24"/>
          <w:szCs w:val="24"/>
          <w:lang w:val="es-UY"/>
        </w:rPr>
      </w:pPr>
      <w:r w:rsidRPr="00CC5670">
        <w:rPr>
          <w:rFonts w:cstheme="minorHAnsi"/>
          <w:sz w:val="24"/>
          <w:szCs w:val="24"/>
          <w:lang w:val="es-UY"/>
        </w:rPr>
        <w:t>Los resultados surgen de la secuenciación genómica realizad</w:t>
      </w:r>
      <w:r w:rsidR="00FD633A">
        <w:rPr>
          <w:rFonts w:cstheme="minorHAnsi"/>
          <w:sz w:val="24"/>
          <w:szCs w:val="24"/>
          <w:lang w:val="es-UY"/>
        </w:rPr>
        <w:t>a</w:t>
      </w:r>
      <w:r w:rsidRPr="00CC5670">
        <w:rPr>
          <w:rFonts w:cstheme="minorHAnsi"/>
          <w:sz w:val="24"/>
          <w:szCs w:val="24"/>
          <w:lang w:val="es-UY"/>
        </w:rPr>
        <w:t xml:space="preserve"> sobre </w:t>
      </w:r>
      <w:r w:rsidRPr="00CC5670">
        <w:rPr>
          <w:rFonts w:cstheme="minorHAnsi"/>
          <w:b/>
          <w:sz w:val="24"/>
          <w:szCs w:val="24"/>
          <w:lang w:val="es-UY"/>
        </w:rPr>
        <w:t>65</w:t>
      </w:r>
      <w:r w:rsidRPr="00CC5670">
        <w:rPr>
          <w:rFonts w:cstheme="minorHAnsi"/>
          <w:sz w:val="24"/>
          <w:szCs w:val="24"/>
          <w:lang w:val="es-UY"/>
        </w:rPr>
        <w:t xml:space="preserve"> </w:t>
      </w:r>
      <w:r w:rsidRPr="00CC5670">
        <w:rPr>
          <w:rFonts w:cstheme="minorHAnsi"/>
          <w:b/>
          <w:sz w:val="24"/>
          <w:szCs w:val="24"/>
          <w:lang w:val="es-UY"/>
        </w:rPr>
        <w:t>muestras</w:t>
      </w:r>
      <w:r w:rsidRPr="00CC5670">
        <w:rPr>
          <w:rFonts w:cstheme="minorHAnsi"/>
          <w:sz w:val="24"/>
          <w:szCs w:val="24"/>
          <w:lang w:val="es-UY"/>
        </w:rPr>
        <w:t xml:space="preserve"> de personas </w:t>
      </w:r>
      <w:r w:rsidR="00605016">
        <w:rPr>
          <w:rFonts w:cstheme="minorHAnsi"/>
          <w:sz w:val="24"/>
          <w:szCs w:val="24"/>
          <w:lang w:val="es-UY"/>
        </w:rPr>
        <w:t>con COVID19</w:t>
      </w:r>
      <w:r w:rsidRPr="00CC5670">
        <w:rPr>
          <w:rFonts w:cstheme="minorHAnsi"/>
          <w:sz w:val="24"/>
          <w:szCs w:val="24"/>
          <w:lang w:val="es-UY"/>
        </w:rPr>
        <w:t xml:space="preserve"> que viajaron al exterior y regresaron al país entre el </w:t>
      </w:r>
      <w:r w:rsidRPr="00CC5670">
        <w:rPr>
          <w:rFonts w:cstheme="minorHAnsi"/>
          <w:b/>
          <w:sz w:val="24"/>
          <w:szCs w:val="24"/>
          <w:lang w:val="es-UY"/>
        </w:rPr>
        <w:t>25 de junio al 15 de julio</w:t>
      </w:r>
      <w:r w:rsidR="00605016">
        <w:rPr>
          <w:rFonts w:cstheme="minorHAnsi"/>
          <w:b/>
          <w:sz w:val="24"/>
          <w:szCs w:val="24"/>
          <w:lang w:val="es-UY"/>
        </w:rPr>
        <w:t xml:space="preserve">. </w:t>
      </w:r>
      <w:r w:rsidR="00605016" w:rsidRPr="00605016">
        <w:rPr>
          <w:rFonts w:cstheme="minorHAnsi"/>
          <w:sz w:val="24"/>
          <w:szCs w:val="24"/>
          <w:lang w:val="es-UY"/>
        </w:rPr>
        <w:t>Las muestras</w:t>
      </w:r>
      <w:r w:rsidRPr="00CC5670">
        <w:rPr>
          <w:rFonts w:cstheme="minorHAnsi"/>
          <w:sz w:val="24"/>
          <w:szCs w:val="24"/>
          <w:lang w:val="es-UY"/>
        </w:rPr>
        <w:t xml:space="preserve"> fueron recibidas por el GTI en los últimos días</w:t>
      </w:r>
      <w:r w:rsidR="00605016">
        <w:rPr>
          <w:rFonts w:cstheme="minorHAnsi"/>
          <w:sz w:val="24"/>
          <w:szCs w:val="24"/>
          <w:lang w:val="es-UY"/>
        </w:rPr>
        <w:t xml:space="preserve"> de la semana</w:t>
      </w:r>
      <w:r w:rsidRPr="00CC5670">
        <w:rPr>
          <w:rFonts w:cstheme="minorHAnsi"/>
          <w:sz w:val="24"/>
          <w:szCs w:val="24"/>
          <w:lang w:val="es-UY"/>
        </w:rPr>
        <w:t>.</w:t>
      </w:r>
      <w:r w:rsidR="000616A0">
        <w:rPr>
          <w:rFonts w:cstheme="minorHAnsi"/>
          <w:sz w:val="24"/>
          <w:szCs w:val="24"/>
          <w:lang w:val="es-UY"/>
        </w:rPr>
        <w:t xml:space="preserve"> </w:t>
      </w:r>
      <w:r w:rsidRPr="00CC5670">
        <w:rPr>
          <w:rFonts w:cstheme="minorHAnsi"/>
          <w:sz w:val="24"/>
          <w:szCs w:val="24"/>
          <w:lang w:val="es-UY"/>
        </w:rPr>
        <w:t xml:space="preserve">Del total, </w:t>
      </w:r>
      <w:r w:rsidRPr="00605016">
        <w:rPr>
          <w:rFonts w:cstheme="minorHAnsi"/>
          <w:b/>
          <w:sz w:val="24"/>
          <w:szCs w:val="24"/>
          <w:lang w:val="es-UY"/>
        </w:rPr>
        <w:t>26</w:t>
      </w:r>
      <w:r w:rsidRPr="00CC5670">
        <w:rPr>
          <w:rFonts w:cstheme="minorHAnsi"/>
          <w:sz w:val="24"/>
          <w:szCs w:val="24"/>
          <w:lang w:val="es-UY"/>
        </w:rPr>
        <w:t xml:space="preserve"> muestras se identificaron como </w:t>
      </w:r>
      <w:r w:rsidRPr="00605016">
        <w:rPr>
          <w:rFonts w:cstheme="minorHAnsi"/>
          <w:b/>
          <w:sz w:val="24"/>
          <w:szCs w:val="24"/>
          <w:lang w:val="es-UY"/>
        </w:rPr>
        <w:t>delta</w:t>
      </w:r>
      <w:r w:rsidRPr="00CC5670">
        <w:rPr>
          <w:rFonts w:cstheme="minorHAnsi"/>
          <w:sz w:val="24"/>
          <w:szCs w:val="24"/>
          <w:lang w:val="es-UY"/>
        </w:rPr>
        <w:t xml:space="preserve">, </w:t>
      </w:r>
      <w:r w:rsidRPr="00605016">
        <w:rPr>
          <w:rFonts w:cstheme="minorHAnsi"/>
          <w:b/>
          <w:sz w:val="24"/>
          <w:szCs w:val="24"/>
          <w:lang w:val="es-UY"/>
        </w:rPr>
        <w:t>14</w:t>
      </w:r>
      <w:r w:rsidRPr="00CC5670">
        <w:rPr>
          <w:rFonts w:cstheme="minorHAnsi"/>
          <w:sz w:val="24"/>
          <w:szCs w:val="24"/>
          <w:lang w:val="es-UY"/>
        </w:rPr>
        <w:t xml:space="preserve"> </w:t>
      </w:r>
      <w:r w:rsidR="00FD633A">
        <w:rPr>
          <w:rFonts w:cstheme="minorHAnsi"/>
          <w:sz w:val="24"/>
          <w:szCs w:val="24"/>
          <w:lang w:val="es-UY"/>
        </w:rPr>
        <w:t xml:space="preserve">son </w:t>
      </w:r>
      <w:r w:rsidRPr="00605016">
        <w:rPr>
          <w:rFonts w:cstheme="minorHAnsi"/>
          <w:b/>
          <w:sz w:val="24"/>
          <w:szCs w:val="24"/>
          <w:lang w:val="es-UY"/>
        </w:rPr>
        <w:t>beta</w:t>
      </w:r>
      <w:r w:rsidRPr="00CC5670">
        <w:rPr>
          <w:rFonts w:cstheme="minorHAnsi"/>
          <w:sz w:val="24"/>
          <w:szCs w:val="24"/>
          <w:lang w:val="es-UY"/>
        </w:rPr>
        <w:t xml:space="preserve">, </w:t>
      </w:r>
      <w:r w:rsidRPr="00605016">
        <w:rPr>
          <w:rFonts w:cstheme="minorHAnsi"/>
          <w:b/>
          <w:sz w:val="24"/>
          <w:szCs w:val="24"/>
          <w:lang w:val="es-UY"/>
        </w:rPr>
        <w:t>2 al</w:t>
      </w:r>
      <w:r w:rsidR="00FD633A" w:rsidRPr="00605016">
        <w:rPr>
          <w:rFonts w:cstheme="minorHAnsi"/>
          <w:b/>
          <w:sz w:val="24"/>
          <w:szCs w:val="24"/>
          <w:lang w:val="es-UY"/>
        </w:rPr>
        <w:t>fa</w:t>
      </w:r>
      <w:r w:rsidRPr="00CC5670">
        <w:rPr>
          <w:rFonts w:cstheme="minorHAnsi"/>
          <w:sz w:val="24"/>
          <w:szCs w:val="24"/>
          <w:lang w:val="es-UY"/>
        </w:rPr>
        <w:t xml:space="preserve"> y </w:t>
      </w:r>
      <w:r w:rsidRPr="00605016">
        <w:rPr>
          <w:rFonts w:cstheme="minorHAnsi"/>
          <w:b/>
          <w:sz w:val="24"/>
          <w:szCs w:val="24"/>
          <w:lang w:val="es-UY"/>
        </w:rPr>
        <w:t>1 lambda</w:t>
      </w:r>
      <w:r w:rsidR="00FD633A">
        <w:rPr>
          <w:rFonts w:cstheme="minorHAnsi"/>
          <w:sz w:val="24"/>
          <w:szCs w:val="24"/>
          <w:lang w:val="es-UY"/>
        </w:rPr>
        <w:t>;</w:t>
      </w:r>
      <w:r w:rsidRPr="00CC5670">
        <w:rPr>
          <w:rFonts w:cstheme="minorHAnsi"/>
          <w:sz w:val="24"/>
          <w:szCs w:val="24"/>
          <w:lang w:val="es-UY"/>
        </w:rPr>
        <w:t xml:space="preserve"> la</w:t>
      </w:r>
      <w:bookmarkStart w:id="0" w:name="_GoBack"/>
      <w:bookmarkEnd w:id="0"/>
      <w:r w:rsidRPr="00CC5670">
        <w:rPr>
          <w:rFonts w:cstheme="minorHAnsi"/>
          <w:sz w:val="24"/>
          <w:szCs w:val="24"/>
          <w:lang w:val="es-UY"/>
        </w:rPr>
        <w:t xml:space="preserve">s </w:t>
      </w:r>
      <w:r w:rsidRPr="00605016">
        <w:rPr>
          <w:rFonts w:cstheme="minorHAnsi"/>
          <w:b/>
          <w:sz w:val="24"/>
          <w:szCs w:val="24"/>
          <w:lang w:val="es-UY"/>
        </w:rPr>
        <w:t>22</w:t>
      </w:r>
      <w:r w:rsidRPr="00CC5670">
        <w:rPr>
          <w:rFonts w:cstheme="minorHAnsi"/>
          <w:sz w:val="24"/>
          <w:szCs w:val="24"/>
          <w:lang w:val="es-UY"/>
        </w:rPr>
        <w:t xml:space="preserve"> muestras restantes corresponden a la variante </w:t>
      </w:r>
      <w:r w:rsidRPr="00605016">
        <w:rPr>
          <w:rFonts w:cstheme="minorHAnsi"/>
          <w:b/>
          <w:sz w:val="24"/>
          <w:szCs w:val="24"/>
          <w:lang w:val="es-UY"/>
        </w:rPr>
        <w:t>gamma</w:t>
      </w:r>
      <w:r w:rsidRPr="00CC5670">
        <w:rPr>
          <w:rFonts w:cstheme="minorHAnsi"/>
          <w:sz w:val="24"/>
          <w:szCs w:val="24"/>
          <w:lang w:val="es-UY"/>
        </w:rPr>
        <w:t xml:space="preserve"> (P.1) </w:t>
      </w:r>
      <w:r w:rsidR="00FD633A">
        <w:rPr>
          <w:rFonts w:cstheme="minorHAnsi"/>
          <w:sz w:val="24"/>
          <w:szCs w:val="24"/>
          <w:lang w:val="es-UY"/>
        </w:rPr>
        <w:t xml:space="preserve">que </w:t>
      </w:r>
      <w:r w:rsidRPr="00CC5670">
        <w:rPr>
          <w:rFonts w:cstheme="minorHAnsi"/>
          <w:sz w:val="24"/>
          <w:szCs w:val="24"/>
          <w:lang w:val="es-UY"/>
        </w:rPr>
        <w:t>predomina en Uruguay.</w:t>
      </w:r>
    </w:p>
    <w:p w:rsidR="00CC5670" w:rsidRPr="00CC5670" w:rsidRDefault="00CC5670" w:rsidP="00CC5670">
      <w:pPr>
        <w:ind w:firstLine="284"/>
        <w:jc w:val="both"/>
        <w:rPr>
          <w:rFonts w:cstheme="minorHAnsi"/>
          <w:sz w:val="24"/>
          <w:szCs w:val="24"/>
          <w:lang w:val="es-UY"/>
        </w:rPr>
      </w:pPr>
      <w:r w:rsidRPr="00CC5670">
        <w:rPr>
          <w:rFonts w:cstheme="minorHAnsi"/>
          <w:sz w:val="24"/>
          <w:szCs w:val="24"/>
          <w:lang w:val="es-UY"/>
        </w:rPr>
        <w:t xml:space="preserve">Recordamos que la primera detección de las variantes alfa y lambda en los últimos meses fue contenida </w:t>
      </w:r>
      <w:r w:rsidR="00FD633A">
        <w:rPr>
          <w:rFonts w:cstheme="minorHAnsi"/>
          <w:sz w:val="24"/>
          <w:szCs w:val="24"/>
          <w:lang w:val="es-UY"/>
        </w:rPr>
        <w:t>de manera efectiva</w:t>
      </w:r>
      <w:r w:rsidRPr="00CC5670">
        <w:rPr>
          <w:rFonts w:cstheme="minorHAnsi"/>
          <w:sz w:val="24"/>
          <w:szCs w:val="24"/>
          <w:lang w:val="es-UY"/>
        </w:rPr>
        <w:t xml:space="preserve"> gracias a la estrategia de </w:t>
      </w:r>
      <w:r w:rsidR="00FD633A">
        <w:rPr>
          <w:rFonts w:cstheme="minorHAnsi"/>
          <w:sz w:val="24"/>
          <w:szCs w:val="24"/>
          <w:lang w:val="es-UY"/>
        </w:rPr>
        <w:t>“Tetris”</w:t>
      </w:r>
      <w:r w:rsidRPr="00CC5670">
        <w:rPr>
          <w:rFonts w:cstheme="minorHAnsi"/>
          <w:sz w:val="24"/>
          <w:szCs w:val="24"/>
          <w:lang w:val="es-UY"/>
        </w:rPr>
        <w:t xml:space="preserve"> (testeo, rastreo y asilamiento) que evitó su expansión.</w:t>
      </w:r>
    </w:p>
    <w:p w:rsidR="00FD633A" w:rsidRDefault="00CC5670" w:rsidP="00FD633A">
      <w:pPr>
        <w:spacing w:after="0"/>
        <w:ind w:firstLine="284"/>
        <w:jc w:val="both"/>
        <w:rPr>
          <w:rFonts w:cstheme="minorHAnsi"/>
          <w:sz w:val="24"/>
          <w:szCs w:val="24"/>
          <w:lang w:val="es-UY"/>
        </w:rPr>
      </w:pPr>
      <w:r w:rsidRPr="00CC5670">
        <w:rPr>
          <w:rFonts w:cstheme="minorHAnsi"/>
          <w:sz w:val="24"/>
          <w:szCs w:val="24"/>
          <w:lang w:val="es-UY"/>
        </w:rPr>
        <w:t xml:space="preserve">Las instituciones </w:t>
      </w:r>
      <w:r w:rsidR="00FD633A">
        <w:rPr>
          <w:rFonts w:cstheme="minorHAnsi"/>
          <w:sz w:val="24"/>
          <w:szCs w:val="24"/>
          <w:lang w:val="es-UY"/>
        </w:rPr>
        <w:t xml:space="preserve">que </w:t>
      </w:r>
      <w:r w:rsidRPr="00CC5670">
        <w:rPr>
          <w:rFonts w:cstheme="minorHAnsi"/>
          <w:sz w:val="24"/>
          <w:szCs w:val="24"/>
          <w:lang w:val="es-UY"/>
        </w:rPr>
        <w:t>integran</w:t>
      </w:r>
      <w:r w:rsidR="00FD633A">
        <w:rPr>
          <w:rFonts w:cstheme="minorHAnsi"/>
          <w:sz w:val="24"/>
          <w:szCs w:val="24"/>
          <w:lang w:val="es-UY"/>
        </w:rPr>
        <w:t xml:space="preserve"> </w:t>
      </w:r>
      <w:r w:rsidRPr="00CC5670">
        <w:rPr>
          <w:rFonts w:cstheme="minorHAnsi"/>
          <w:sz w:val="24"/>
          <w:szCs w:val="24"/>
          <w:lang w:val="es-UY"/>
        </w:rPr>
        <w:t>el GTI (Udelar, Institut Pasteur de Montevideo, Sanatorio Americano, Ministerio de Salud Pública) quieren transmitir a la población que</w:t>
      </w:r>
      <w:r w:rsidR="00FD633A">
        <w:rPr>
          <w:rFonts w:cstheme="minorHAnsi"/>
          <w:sz w:val="24"/>
          <w:szCs w:val="24"/>
          <w:lang w:val="es-UY"/>
        </w:rPr>
        <w:t xml:space="preserve"> la variante delta es más transmisible que las demás (entre 60 y 80%), pero sobre todo en personas no vacunas, y en especial en países con menos de 50% de su población inmunizada.</w:t>
      </w:r>
    </w:p>
    <w:p w:rsidR="00FD633A" w:rsidRDefault="00FD633A" w:rsidP="00FD633A">
      <w:pPr>
        <w:spacing w:after="0"/>
        <w:ind w:firstLine="284"/>
        <w:jc w:val="both"/>
        <w:rPr>
          <w:rFonts w:cstheme="minorHAnsi"/>
          <w:sz w:val="24"/>
          <w:szCs w:val="24"/>
          <w:lang w:val="es-UY"/>
        </w:rPr>
      </w:pPr>
    </w:p>
    <w:p w:rsidR="00FD633A" w:rsidRPr="00CC5670" w:rsidRDefault="00FD633A" w:rsidP="00FD633A">
      <w:pPr>
        <w:spacing w:after="0"/>
        <w:ind w:firstLine="284"/>
        <w:jc w:val="both"/>
        <w:rPr>
          <w:rFonts w:cstheme="minorHAnsi"/>
          <w:sz w:val="24"/>
          <w:szCs w:val="24"/>
          <w:lang w:val="es-UY"/>
        </w:rPr>
      </w:pPr>
      <w:r w:rsidRPr="00CC5670">
        <w:rPr>
          <w:rFonts w:cstheme="minorHAnsi"/>
          <w:sz w:val="24"/>
          <w:szCs w:val="24"/>
          <w:lang w:val="es-UY"/>
        </w:rPr>
        <w:t xml:space="preserve">Hasta el momento, la evidencia internacional muestra que las vacunas que se </w:t>
      </w:r>
      <w:r>
        <w:rPr>
          <w:rFonts w:cstheme="minorHAnsi"/>
          <w:sz w:val="24"/>
          <w:szCs w:val="24"/>
          <w:lang w:val="es-UY"/>
        </w:rPr>
        <w:t>administran</w:t>
      </w:r>
      <w:r w:rsidRPr="00CC5670">
        <w:rPr>
          <w:rFonts w:cstheme="minorHAnsi"/>
          <w:sz w:val="24"/>
          <w:szCs w:val="24"/>
          <w:lang w:val="es-UY"/>
        </w:rPr>
        <w:t xml:space="preserve"> en Uruguay son eficaces en prevenir hospitalización y muerte por </w:t>
      </w:r>
      <w:r>
        <w:rPr>
          <w:rFonts w:cstheme="minorHAnsi"/>
          <w:sz w:val="24"/>
          <w:szCs w:val="24"/>
          <w:lang w:val="es-UY"/>
        </w:rPr>
        <w:t>las</w:t>
      </w:r>
      <w:r w:rsidRPr="00CC5670">
        <w:rPr>
          <w:rFonts w:cstheme="minorHAnsi"/>
          <w:sz w:val="24"/>
          <w:szCs w:val="24"/>
          <w:lang w:val="es-UY"/>
        </w:rPr>
        <w:t xml:space="preserve"> variantes</w:t>
      </w:r>
      <w:r>
        <w:rPr>
          <w:rFonts w:cstheme="minorHAnsi"/>
          <w:sz w:val="24"/>
          <w:szCs w:val="24"/>
          <w:lang w:val="es-UY"/>
        </w:rPr>
        <w:t xml:space="preserve"> que circulan en el país</w:t>
      </w:r>
      <w:r w:rsidRPr="00CC5670">
        <w:rPr>
          <w:rFonts w:cstheme="minorHAnsi"/>
          <w:sz w:val="24"/>
          <w:szCs w:val="24"/>
          <w:lang w:val="es-UY"/>
        </w:rPr>
        <w:t>.</w:t>
      </w:r>
      <w:r>
        <w:rPr>
          <w:rFonts w:cstheme="minorHAnsi"/>
          <w:sz w:val="24"/>
          <w:szCs w:val="24"/>
          <w:lang w:val="es-UY"/>
        </w:rPr>
        <w:t xml:space="preserve"> De todos modos, instamos a la población a mantener —y reforzar— las medidas sanitarias recomendadas: no aglomerarse, ventilar espacios, mantener distanciamiento físico y consultar de forma inmediata ante posibles síntomas de la enfermedad con aislamiento preventivo hasta conocer el diagnóstico.</w:t>
      </w:r>
    </w:p>
    <w:p w:rsidR="00FD633A" w:rsidRDefault="00FD633A" w:rsidP="00FD633A">
      <w:pPr>
        <w:spacing w:after="0"/>
        <w:ind w:firstLine="284"/>
        <w:jc w:val="both"/>
        <w:rPr>
          <w:rFonts w:cstheme="minorHAnsi"/>
          <w:sz w:val="24"/>
          <w:szCs w:val="24"/>
          <w:lang w:val="es-UY"/>
        </w:rPr>
      </w:pPr>
    </w:p>
    <w:p w:rsidR="00CC5670" w:rsidRPr="00CC5670" w:rsidRDefault="00CC5670" w:rsidP="00CC5670">
      <w:pPr>
        <w:spacing w:after="0"/>
        <w:ind w:firstLine="284"/>
        <w:jc w:val="both"/>
        <w:rPr>
          <w:rFonts w:cstheme="minorHAnsi"/>
          <w:sz w:val="24"/>
          <w:szCs w:val="24"/>
          <w:lang w:val="es-UY"/>
        </w:rPr>
      </w:pPr>
    </w:p>
    <w:p w:rsidR="00CC5670" w:rsidRPr="00CC5670" w:rsidRDefault="00CC5670" w:rsidP="00CC5670">
      <w:pPr>
        <w:ind w:firstLine="284"/>
        <w:jc w:val="both"/>
        <w:rPr>
          <w:rFonts w:cstheme="minorHAnsi"/>
          <w:sz w:val="24"/>
          <w:szCs w:val="24"/>
          <w:lang w:val="es-UY"/>
        </w:rPr>
      </w:pPr>
    </w:p>
    <w:sectPr w:rsidR="00CC5670" w:rsidRPr="00CC5670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5670" w:rsidRDefault="00CC5670" w:rsidP="00CC5670">
      <w:pPr>
        <w:spacing w:after="0" w:line="240" w:lineRule="auto"/>
      </w:pPr>
      <w:r>
        <w:separator/>
      </w:r>
    </w:p>
  </w:endnote>
  <w:endnote w:type="continuationSeparator" w:id="0">
    <w:p w:rsidR="00CC5670" w:rsidRDefault="00CC5670" w:rsidP="00CC5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5670" w:rsidRDefault="00CC5670" w:rsidP="00CC5670">
      <w:pPr>
        <w:spacing w:after="0" w:line="240" w:lineRule="auto"/>
      </w:pPr>
      <w:r>
        <w:separator/>
      </w:r>
    </w:p>
  </w:footnote>
  <w:footnote w:type="continuationSeparator" w:id="0">
    <w:p w:rsidR="00CC5670" w:rsidRDefault="00CC5670" w:rsidP="00CC5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5670" w:rsidRDefault="00CC5670">
    <w:pPr>
      <w:pStyle w:val="Header"/>
    </w:pPr>
    <w:r w:rsidRPr="00CC5670">
      <w:drawing>
        <wp:anchor distT="0" distB="0" distL="114300" distR="114300" simplePos="0" relativeHeight="251660288" behindDoc="0" locked="0" layoutInCell="1" allowOverlap="1" wp14:anchorId="3A13E3DE" wp14:editId="281988E7">
          <wp:simplePos x="0" y="0"/>
          <wp:positionH relativeFrom="column">
            <wp:posOffset>2901315</wp:posOffset>
          </wp:positionH>
          <wp:positionV relativeFrom="paragraph">
            <wp:posOffset>-160655</wp:posOffset>
          </wp:positionV>
          <wp:extent cx="1227455" cy="669925"/>
          <wp:effectExtent l="0" t="0" r="0" b="0"/>
          <wp:wrapSquare wrapText="bothSides"/>
          <wp:docPr id="52" name="Picture 52" descr="Logotipo Cenur Litoral Norte - Recursos gráficos |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tipo Cenur Litoral Norte - Recursos gráficos |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170"/>
                  <a:stretch/>
                </pic:blipFill>
                <pic:spPr bwMode="auto">
                  <a:xfrm>
                    <a:off x="0" y="0"/>
                    <a:ext cx="1227455" cy="6699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C5670">
      <w:drawing>
        <wp:anchor distT="0" distB="0" distL="114300" distR="114300" simplePos="0" relativeHeight="251659264" behindDoc="0" locked="0" layoutInCell="1" allowOverlap="1" wp14:anchorId="753D6F34" wp14:editId="50E0170D">
          <wp:simplePos x="0" y="0"/>
          <wp:positionH relativeFrom="column">
            <wp:posOffset>1520825</wp:posOffset>
          </wp:positionH>
          <wp:positionV relativeFrom="paragraph">
            <wp:posOffset>-86995</wp:posOffset>
          </wp:positionV>
          <wp:extent cx="1249045" cy="549275"/>
          <wp:effectExtent l="0" t="0" r="0" b="3175"/>
          <wp:wrapSquare wrapText="bothSides"/>
          <wp:docPr id="53" name="Picture 53" descr="Institut Pasteur de Montevide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nstitut Pasteur de Montevide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045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670"/>
    <w:rsid w:val="000616A0"/>
    <w:rsid w:val="004B22DE"/>
    <w:rsid w:val="00605016"/>
    <w:rsid w:val="00CC5670"/>
    <w:rsid w:val="00FD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83866C"/>
  <w15:chartTrackingRefBased/>
  <w15:docId w15:val="{4F3C1A3F-BB77-4C3E-AE1E-036922131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56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56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670"/>
  </w:style>
  <w:style w:type="paragraph" w:styleId="Footer">
    <w:name w:val="footer"/>
    <w:basedOn w:val="Normal"/>
    <w:link w:val="FooterChar"/>
    <w:uiPriority w:val="99"/>
    <w:unhideWhenUsed/>
    <w:rsid w:val="00CC56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6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Hirschfeld</dc:creator>
  <cp:keywords/>
  <dc:description/>
  <cp:lastModifiedBy>Daniela Hirschfeld</cp:lastModifiedBy>
  <cp:revision>1</cp:revision>
  <dcterms:created xsi:type="dcterms:W3CDTF">2021-07-17T21:39:00Z</dcterms:created>
  <dcterms:modified xsi:type="dcterms:W3CDTF">2021-07-17T22:42:00Z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892a75-59a0-4e0e-9b97-f68af558ca2b_Enabled">
    <vt:lpwstr>True</vt:lpwstr>
  </property>
  <property fmtid="{D5CDD505-2E9C-101B-9397-08002B2CF9AE}" pid="3" name="MSIP_Label_2e892a75-59a0-4e0e-9b97-f68af558ca2b_SiteId">
    <vt:lpwstr>9f1098df-eebc-4be7-9878-bc3c8d059fd7</vt:lpwstr>
  </property>
  <property fmtid="{D5CDD505-2E9C-101B-9397-08002B2CF9AE}" pid="4" name="MSIP_Label_2e892a75-59a0-4e0e-9b97-f68af558ca2b_Owner">
    <vt:lpwstr>D.Hirschfeld@cabi.org</vt:lpwstr>
  </property>
  <property fmtid="{D5CDD505-2E9C-101B-9397-08002B2CF9AE}" pid="5" name="MSIP_Label_2e892a75-59a0-4e0e-9b97-f68af558ca2b_SetDate">
    <vt:lpwstr>2021-07-17T22:42:04.2874186Z</vt:lpwstr>
  </property>
  <property fmtid="{D5CDD505-2E9C-101B-9397-08002B2CF9AE}" pid="6" name="MSIP_Label_2e892a75-59a0-4e0e-9b97-f68af558ca2b_Name">
    <vt:lpwstr>CABI</vt:lpwstr>
  </property>
  <property fmtid="{D5CDD505-2E9C-101B-9397-08002B2CF9AE}" pid="7" name="MSIP_Label_2e892a75-59a0-4e0e-9b97-f68af558ca2b_Application">
    <vt:lpwstr>Microsoft Azure Information Protection</vt:lpwstr>
  </property>
  <property fmtid="{D5CDD505-2E9C-101B-9397-08002B2CF9AE}" pid="8" name="MSIP_Label_2e892a75-59a0-4e0e-9b97-f68af558ca2b_ActionId">
    <vt:lpwstr>02c8d0fb-29a8-40f9-9ee7-e20206ff6de6</vt:lpwstr>
  </property>
  <property fmtid="{D5CDD505-2E9C-101B-9397-08002B2CF9AE}" pid="9" name="MSIP_Label_2e892a75-59a0-4e0e-9b97-f68af558ca2b_Extended_MSFT_Method">
    <vt:lpwstr>Automatic</vt:lpwstr>
  </property>
  <property fmtid="{D5CDD505-2E9C-101B-9397-08002B2CF9AE}" pid="10" name="Sensitivity">
    <vt:lpwstr>CABI</vt:lpwstr>
  </property>
</Properties>
</file>