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2B0DE" w14:textId="7CB0AABC" w:rsidR="00E436AC" w:rsidRPr="009B5AD4" w:rsidRDefault="009B5AD4" w:rsidP="009B5AD4">
      <w:pPr>
        <w:spacing w:line="360" w:lineRule="auto"/>
        <w:jc w:val="center"/>
        <w:rPr>
          <w:rFonts w:ascii="Arial" w:hAnsi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</w:rPr>
        <w:t>Partido Cabildo Abierto</w:t>
      </w:r>
    </w:p>
    <w:p w14:paraId="57A7F862" w14:textId="77777777" w:rsidR="00E436AC" w:rsidRDefault="008F3920">
      <w:pPr>
        <w:spacing w:line="360" w:lineRule="auto"/>
        <w:jc w:val="center"/>
        <w:rPr>
          <w:rFonts w:ascii="Arial" w:hAnsi="Arial"/>
          <w:b/>
          <w:bCs/>
          <w:sz w:val="28"/>
          <w:szCs w:val="28"/>
          <w:u w:val="single"/>
        </w:rPr>
      </w:pPr>
      <w:proofErr w:type="spellStart"/>
      <w:r>
        <w:rPr>
          <w:rFonts w:ascii="Arial" w:hAnsi="Arial"/>
          <w:b/>
          <w:bCs/>
          <w:sz w:val="28"/>
          <w:szCs w:val="28"/>
          <w:u w:val="single"/>
        </w:rPr>
        <w:t>Análisis</w:t>
      </w:r>
      <w:proofErr w:type="spellEnd"/>
      <w:r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  <w:u w:val="single"/>
        </w:rPr>
        <w:t>inicial</w:t>
      </w:r>
      <w:proofErr w:type="spellEnd"/>
      <w:r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rFonts w:ascii="Arial" w:hAnsi="Arial"/>
          <w:b/>
          <w:bCs/>
          <w:sz w:val="28"/>
          <w:szCs w:val="28"/>
          <w:u w:val="single"/>
        </w:rPr>
        <w:t>del</w:t>
      </w:r>
      <w:proofErr w:type="gramEnd"/>
      <w:r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  <w:u w:val="single"/>
        </w:rPr>
        <w:t>Anteproyecto</w:t>
      </w:r>
      <w:proofErr w:type="spellEnd"/>
      <w:r>
        <w:rPr>
          <w:rFonts w:ascii="Arial" w:hAnsi="Arial"/>
          <w:b/>
          <w:bCs/>
          <w:sz w:val="28"/>
          <w:szCs w:val="28"/>
          <w:u w:val="single"/>
        </w:rPr>
        <w:t xml:space="preserve"> de </w:t>
      </w:r>
      <w:proofErr w:type="spellStart"/>
      <w:r>
        <w:rPr>
          <w:rFonts w:ascii="Arial" w:hAnsi="Arial"/>
          <w:b/>
          <w:bCs/>
          <w:sz w:val="28"/>
          <w:szCs w:val="28"/>
          <w:u w:val="single"/>
        </w:rPr>
        <w:t>Reforma</w:t>
      </w:r>
      <w:proofErr w:type="spellEnd"/>
      <w:r>
        <w:rPr>
          <w:rFonts w:ascii="Arial" w:hAnsi="Arial"/>
          <w:b/>
          <w:bCs/>
          <w:sz w:val="28"/>
          <w:szCs w:val="28"/>
          <w:u w:val="single"/>
        </w:rPr>
        <w:t xml:space="preserve"> a la Seguridad Social</w:t>
      </w:r>
    </w:p>
    <w:p w14:paraId="61F0A93B" w14:textId="77777777" w:rsidR="00E436AC" w:rsidRDefault="00E436AC">
      <w:pPr>
        <w:spacing w:line="360" w:lineRule="auto"/>
        <w:jc w:val="center"/>
        <w:rPr>
          <w:rFonts w:ascii="Arial" w:hAnsi="Arial"/>
        </w:rPr>
      </w:pPr>
    </w:p>
    <w:p w14:paraId="68993045" w14:textId="77777777" w:rsidR="00E436AC" w:rsidRDefault="008F3920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  <w:proofErr w:type="spellStart"/>
      <w:r>
        <w:rPr>
          <w:rFonts w:ascii="Arial" w:hAnsi="Arial"/>
          <w:b/>
          <w:bCs/>
          <w:sz w:val="28"/>
          <w:szCs w:val="28"/>
          <w:u w:val="single"/>
        </w:rPr>
        <w:t>Reforma</w:t>
      </w:r>
      <w:proofErr w:type="spellEnd"/>
      <w:r>
        <w:rPr>
          <w:rFonts w:ascii="Arial" w:hAnsi="Arial"/>
          <w:b/>
          <w:bCs/>
          <w:sz w:val="28"/>
          <w:szCs w:val="28"/>
          <w:u w:val="single"/>
        </w:rPr>
        <w:t xml:space="preserve"> Integral</w:t>
      </w:r>
    </w:p>
    <w:p w14:paraId="57DDC039" w14:textId="77777777" w:rsidR="00E436AC" w:rsidRDefault="008F3920">
      <w:pPr>
        <w:spacing w:line="360" w:lineRule="auto"/>
        <w:ind w:left="720"/>
        <w:jc w:val="both"/>
        <w:rPr>
          <w:rFonts w:ascii="Arial" w:hAnsi="Arial"/>
        </w:rPr>
      </w:pPr>
      <w:r>
        <w:rPr>
          <w:rFonts w:ascii="Arial" w:hAnsi="Arial"/>
          <w:lang w:val="es-AR"/>
        </w:rPr>
        <w:t xml:space="preserve">Se comparte la idea de establecer una reforma integral, abarcando todos los subsistemas de seguridad social. Sin embargo resulta imprescindible establecer en forma clara cuales son las especificidades, y como las mismas son contempladas en el proyecto. </w:t>
      </w:r>
    </w:p>
    <w:p w14:paraId="71243FE4" w14:textId="77777777" w:rsidR="00E436AC" w:rsidRDefault="008F3920">
      <w:pPr>
        <w:spacing w:line="360" w:lineRule="auto"/>
        <w:ind w:left="720"/>
        <w:jc w:val="both"/>
        <w:rPr>
          <w:rFonts w:ascii="Arial" w:hAnsi="Arial"/>
        </w:rPr>
      </w:pPr>
      <w:r>
        <w:rPr>
          <w:rFonts w:ascii="Arial" w:hAnsi="Arial"/>
          <w:lang w:val="es-AR"/>
        </w:rPr>
        <w:t>An</w:t>
      </w:r>
      <w:r>
        <w:rPr>
          <w:rFonts w:ascii="Arial" w:hAnsi="Arial"/>
          <w:lang w:val="es-AR"/>
        </w:rPr>
        <w:t>te falta de definiciones y modificaciones al régimen vigente en las Cajas Paraestatales no es posible pronunciarse sobre eventuales cambios a proponer en las mismas.</w:t>
      </w:r>
    </w:p>
    <w:p w14:paraId="16B41155" w14:textId="77777777" w:rsidR="00E436AC" w:rsidRDefault="008F392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lang w:val="es-AR"/>
        </w:rPr>
        <w:tab/>
        <w:t xml:space="preserve">Dentro del Sistema Universal se debe entender necesario establecer, además de  </w:t>
      </w:r>
      <w:r>
        <w:rPr>
          <w:rFonts w:ascii="Arial" w:hAnsi="Arial"/>
          <w:lang w:val="es-AR"/>
        </w:rPr>
        <w:tab/>
        <w:t>una pasiv</w:t>
      </w:r>
      <w:r>
        <w:rPr>
          <w:rFonts w:ascii="Arial" w:hAnsi="Arial"/>
          <w:lang w:val="es-AR"/>
        </w:rPr>
        <w:t>idad universal, la igualdad en los siguientes conceptos:</w:t>
      </w:r>
    </w:p>
    <w:p w14:paraId="150994F7" w14:textId="77777777" w:rsidR="00E436AC" w:rsidRDefault="008F3920">
      <w:pPr>
        <w:numPr>
          <w:ilvl w:val="0"/>
          <w:numId w:val="2"/>
        </w:numPr>
        <w:spacing w:line="360" w:lineRule="auto"/>
        <w:ind w:left="1020" w:hanging="340"/>
        <w:jc w:val="both"/>
        <w:rPr>
          <w:rFonts w:ascii="Arial" w:hAnsi="Arial"/>
        </w:rPr>
      </w:pPr>
      <w:r>
        <w:rPr>
          <w:rFonts w:ascii="Arial" w:hAnsi="Arial"/>
          <w:lang w:val="es-AR"/>
        </w:rPr>
        <w:t>Igualdad de Prestaciones para activos.</w:t>
      </w:r>
    </w:p>
    <w:p w14:paraId="2BA48C37" w14:textId="77777777" w:rsidR="00E436AC" w:rsidRDefault="008F3920">
      <w:pPr>
        <w:numPr>
          <w:ilvl w:val="0"/>
          <w:numId w:val="2"/>
        </w:numPr>
        <w:spacing w:line="360" w:lineRule="auto"/>
        <w:ind w:left="1020" w:hanging="340"/>
        <w:jc w:val="both"/>
        <w:rPr>
          <w:rFonts w:ascii="Arial" w:hAnsi="Arial"/>
        </w:rPr>
      </w:pPr>
      <w:r>
        <w:rPr>
          <w:rFonts w:ascii="Arial" w:hAnsi="Arial"/>
          <w:lang w:val="es-AR"/>
        </w:rPr>
        <w:t>Igualdad de Prestaciones para pasivos.</w:t>
      </w:r>
    </w:p>
    <w:p w14:paraId="62A3F491" w14:textId="7598D423" w:rsidR="00E436AC" w:rsidRDefault="008F392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lang w:val="es-AR"/>
        </w:rPr>
        <w:tab/>
        <w:t xml:space="preserve">c) Financiamiento único para toda la Seguridad Social, estableciendo para los </w:t>
      </w:r>
      <w:r>
        <w:rPr>
          <w:rFonts w:ascii="Arial" w:hAnsi="Arial"/>
          <w:lang w:val="es-AR"/>
        </w:rPr>
        <w:tab/>
        <w:t>recursos fiscales y recursos especiales d</w:t>
      </w:r>
      <w:r>
        <w:rPr>
          <w:rFonts w:ascii="Arial" w:hAnsi="Arial"/>
          <w:lang w:val="es-AR"/>
        </w:rPr>
        <w:t xml:space="preserve">e Paraestatales un destino equitativo para </w:t>
      </w:r>
      <w:r>
        <w:rPr>
          <w:rFonts w:ascii="Arial" w:hAnsi="Arial"/>
          <w:lang w:val="es-AR"/>
        </w:rPr>
        <w:tab/>
        <w:t xml:space="preserve">todos los subsistemas, eliminando la consideraciones de  “recursos genuinos” de </w:t>
      </w:r>
      <w:r>
        <w:rPr>
          <w:rFonts w:ascii="Arial" w:hAnsi="Arial"/>
          <w:lang w:val="es-AR"/>
        </w:rPr>
        <w:tab/>
        <w:t xml:space="preserve">por ejemplo el IASS, IVA, Sustitutivo COFIS solo para el BPS, dando igual </w:t>
      </w:r>
      <w:r>
        <w:rPr>
          <w:rFonts w:ascii="Arial" w:hAnsi="Arial"/>
          <w:lang w:val="es-AR"/>
        </w:rPr>
        <w:tab/>
        <w:t>tratamiento a las PCP Aportes Patronal extra (Caja Banca</w:t>
      </w:r>
      <w:r>
        <w:rPr>
          <w:rFonts w:ascii="Arial" w:hAnsi="Arial"/>
          <w:lang w:val="es-AR"/>
        </w:rPr>
        <w:t xml:space="preserve">ria) o timbres (Caja </w:t>
      </w:r>
      <w:r>
        <w:rPr>
          <w:rFonts w:ascii="Arial" w:hAnsi="Arial"/>
          <w:lang w:val="es-AR"/>
        </w:rPr>
        <w:tab/>
        <w:t>Profesional</w:t>
      </w:r>
      <w:r w:rsidR="009B5AD4">
        <w:rPr>
          <w:rFonts w:ascii="Arial" w:hAnsi="Arial"/>
          <w:lang w:val="es-AR"/>
        </w:rPr>
        <w:t xml:space="preserve"> y Notarial</w:t>
      </w:r>
      <w:r>
        <w:rPr>
          <w:rFonts w:ascii="Arial" w:hAnsi="Arial"/>
          <w:lang w:val="es-AR"/>
        </w:rPr>
        <w:t>).</w:t>
      </w:r>
    </w:p>
    <w:p w14:paraId="46EA4FAB" w14:textId="77777777" w:rsidR="00E436AC" w:rsidRDefault="008F392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lang w:val="es-AR"/>
        </w:rPr>
        <w:tab/>
        <w:t xml:space="preserve">En </w:t>
      </w:r>
      <w:proofErr w:type="gramStart"/>
      <w:r>
        <w:rPr>
          <w:rFonts w:ascii="Arial" w:hAnsi="Arial"/>
          <w:lang w:val="es-AR"/>
        </w:rPr>
        <w:t>primer</w:t>
      </w:r>
      <w:proofErr w:type="gramEnd"/>
      <w:r>
        <w:rPr>
          <w:rFonts w:ascii="Arial" w:hAnsi="Arial"/>
          <w:lang w:val="es-AR"/>
        </w:rPr>
        <w:t xml:space="preserve"> instancia se propone destinar el IASS generado por pasivos de cada </w:t>
      </w:r>
      <w:r>
        <w:rPr>
          <w:rFonts w:ascii="Arial" w:hAnsi="Arial"/>
          <w:lang w:val="es-AR"/>
        </w:rPr>
        <w:tab/>
        <w:t>Caja a aquella que sirve sus pasividades.</w:t>
      </w:r>
    </w:p>
    <w:p w14:paraId="25FF29AA" w14:textId="77777777" w:rsidR="00E436AC" w:rsidRDefault="008F392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lang w:val="es-AR"/>
        </w:rPr>
        <w:t xml:space="preserve"> </w:t>
      </w:r>
      <w:r>
        <w:rPr>
          <w:rFonts w:ascii="Arial" w:hAnsi="Arial"/>
          <w:lang w:val="es-AR"/>
        </w:rPr>
        <w:tab/>
        <w:t xml:space="preserve">d) Establecer que todo aporte a la seguridad social tenga posterior retribución </w:t>
      </w:r>
      <w:r>
        <w:rPr>
          <w:rFonts w:ascii="Arial" w:hAnsi="Arial"/>
          <w:lang w:val="es-AR"/>
        </w:rPr>
        <w:tab/>
        <w:t>(jubi</w:t>
      </w:r>
      <w:r>
        <w:rPr>
          <w:rFonts w:ascii="Arial" w:hAnsi="Arial"/>
          <w:lang w:val="es-AR"/>
        </w:rPr>
        <w:t xml:space="preserve">lación, pensión o acumulación) con el objetivo de evitar evasión y tratamientos </w:t>
      </w:r>
      <w:r>
        <w:rPr>
          <w:rFonts w:ascii="Arial" w:hAnsi="Arial"/>
          <w:lang w:val="es-AR"/>
        </w:rPr>
        <w:tab/>
        <w:t xml:space="preserve">injustos. </w:t>
      </w:r>
    </w:p>
    <w:p w14:paraId="48EE30BB" w14:textId="77777777" w:rsidR="00E436AC" w:rsidRDefault="008F392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e) </w:t>
      </w:r>
      <w:proofErr w:type="spellStart"/>
      <w:r>
        <w:rPr>
          <w:rFonts w:ascii="Arial" w:hAnsi="Arial"/>
        </w:rPr>
        <w:t>Certeza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jurídica</w:t>
      </w:r>
      <w:proofErr w:type="spellEnd"/>
      <w:r>
        <w:rPr>
          <w:rFonts w:ascii="Arial" w:hAnsi="Arial"/>
        </w:rPr>
        <w:t xml:space="preserve">, se </w:t>
      </w:r>
      <w:proofErr w:type="spellStart"/>
      <w:r>
        <w:rPr>
          <w:rFonts w:ascii="Arial" w:hAnsi="Arial"/>
        </w:rPr>
        <w:t>deben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respetar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opciones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tomadas</w:t>
      </w:r>
      <w:proofErr w:type="spellEnd"/>
      <w:r>
        <w:rPr>
          <w:rFonts w:ascii="Arial" w:hAnsi="Arial"/>
        </w:rPr>
        <w:t xml:space="preserve"> en el </w:t>
      </w:r>
      <w:proofErr w:type="spellStart"/>
      <w:r>
        <w:rPr>
          <w:rFonts w:ascii="Arial" w:hAnsi="Arial"/>
        </w:rPr>
        <w:t>régimen</w:t>
      </w:r>
      <w:proofErr w:type="spellEnd"/>
      <w:r>
        <w:rPr>
          <w:rFonts w:ascii="Arial" w:hAnsi="Arial"/>
        </w:rPr>
        <w:t xml:space="preserve"> actual, </w:t>
      </w:r>
      <w:proofErr w:type="spellStart"/>
      <w:r>
        <w:rPr>
          <w:rFonts w:ascii="Arial" w:hAnsi="Arial"/>
        </w:rPr>
        <w:t>por</w:t>
      </w:r>
      <w:proofErr w:type="spellEnd"/>
      <w:r>
        <w:rPr>
          <w:rFonts w:ascii="Arial" w:hAnsi="Arial"/>
        </w:rPr>
        <w:t xml:space="preserve"> </w:t>
      </w:r>
    </w:p>
    <w:p w14:paraId="74D044D5" w14:textId="77777777" w:rsidR="00E436AC" w:rsidRDefault="008F3920">
      <w:pPr>
        <w:spacing w:line="360" w:lineRule="auto"/>
        <w:jc w:val="both"/>
        <w:rPr>
          <w:rFonts w:hint="eastAsia"/>
        </w:rPr>
      </w:pPr>
      <w:r>
        <w:rPr>
          <w:rFonts w:ascii="Arial" w:hAnsi="Arial"/>
          <w:lang w:val="es-AR"/>
        </w:rPr>
        <w:tab/>
        <w:t>Ejemplo: aquellos que optaron por Art. 8 de la Ley 16713 y no configuran causal</w:t>
      </w:r>
      <w:r>
        <w:rPr>
          <w:rFonts w:ascii="Arial" w:hAnsi="Arial"/>
          <w:lang w:val="es-AR"/>
        </w:rPr>
        <w:t xml:space="preserve">. </w:t>
      </w:r>
      <w:r>
        <w:rPr>
          <w:rFonts w:ascii="Arial" w:hAnsi="Arial"/>
          <w:lang w:val="es-AR"/>
        </w:rPr>
        <w:tab/>
        <w:t xml:space="preserve">Pueden además existir otros casos considerando reformas no integradas en el </w:t>
      </w:r>
      <w:r>
        <w:rPr>
          <w:rFonts w:ascii="Arial" w:hAnsi="Arial"/>
          <w:lang w:val="es-AR"/>
        </w:rPr>
        <w:tab/>
        <w:t>anteproyecto.</w:t>
      </w:r>
    </w:p>
    <w:p w14:paraId="74ED837B" w14:textId="77777777" w:rsidR="00E436AC" w:rsidRDefault="008F3920">
      <w:pPr>
        <w:spacing w:line="360" w:lineRule="auto"/>
        <w:ind w:left="709"/>
        <w:jc w:val="both"/>
        <w:rPr>
          <w:rFonts w:ascii="Arial" w:hAnsi="Arial"/>
        </w:rPr>
      </w:pPr>
      <w:r>
        <w:rPr>
          <w:rFonts w:ascii="Arial" w:hAnsi="Arial"/>
          <w:lang w:val="es-AR"/>
        </w:rPr>
        <w:t>f) Revisar las exoneraciones de aportes patronales al sistema no considerando solamente el peso de la reforma en los trabajadores.</w:t>
      </w:r>
    </w:p>
    <w:p w14:paraId="56D9F94C" w14:textId="77777777" w:rsidR="00E436AC" w:rsidRDefault="00E436AC">
      <w:pPr>
        <w:spacing w:line="360" w:lineRule="auto"/>
        <w:jc w:val="both"/>
        <w:rPr>
          <w:rFonts w:hint="eastAsia"/>
          <w:lang w:val="es-AR"/>
        </w:rPr>
      </w:pPr>
    </w:p>
    <w:p w14:paraId="033DBCF1" w14:textId="77777777" w:rsidR="00E436AC" w:rsidRDefault="00E436AC">
      <w:pPr>
        <w:spacing w:line="360" w:lineRule="auto"/>
        <w:jc w:val="both"/>
        <w:rPr>
          <w:rFonts w:hint="eastAsia"/>
          <w:lang w:val="es-AR"/>
        </w:rPr>
      </w:pPr>
    </w:p>
    <w:p w14:paraId="72862557" w14:textId="77777777" w:rsidR="00E436AC" w:rsidRDefault="00E436AC">
      <w:pPr>
        <w:spacing w:line="360" w:lineRule="auto"/>
        <w:jc w:val="both"/>
        <w:rPr>
          <w:rFonts w:hint="eastAsia"/>
          <w:lang w:val="es-AR"/>
        </w:rPr>
      </w:pPr>
    </w:p>
    <w:p w14:paraId="1F5378DD" w14:textId="77777777" w:rsidR="00E436AC" w:rsidRDefault="008F392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lang w:val="es-AR"/>
        </w:rPr>
        <w:lastRenderedPageBreak/>
        <w:tab/>
      </w:r>
      <w:r>
        <w:rPr>
          <w:rFonts w:ascii="Arial" w:hAnsi="Arial"/>
          <w:b/>
          <w:bCs/>
          <w:sz w:val="28"/>
          <w:szCs w:val="28"/>
          <w:lang w:val="es-AR"/>
        </w:rPr>
        <w:t>2.</w:t>
      </w:r>
      <w:r>
        <w:rPr>
          <w:rFonts w:ascii="Arial" w:hAnsi="Arial"/>
          <w:b/>
          <w:bCs/>
          <w:sz w:val="28"/>
          <w:szCs w:val="28"/>
          <w:u w:val="single"/>
          <w:lang w:val="es-AR"/>
        </w:rPr>
        <w:t xml:space="preserve"> Ámbito temporal de aplic</w:t>
      </w:r>
      <w:r>
        <w:rPr>
          <w:rFonts w:ascii="Arial" w:hAnsi="Arial"/>
          <w:b/>
          <w:bCs/>
          <w:sz w:val="28"/>
          <w:szCs w:val="28"/>
          <w:u w:val="single"/>
          <w:lang w:val="es-AR"/>
        </w:rPr>
        <w:t>ación.</w:t>
      </w:r>
    </w:p>
    <w:p w14:paraId="6050833C" w14:textId="77777777" w:rsidR="00E436AC" w:rsidRDefault="008F3920">
      <w:pPr>
        <w:spacing w:line="360" w:lineRule="auto"/>
        <w:ind w:left="680"/>
        <w:jc w:val="both"/>
        <w:rPr>
          <w:rFonts w:ascii="Arial" w:hAnsi="Arial"/>
        </w:rPr>
      </w:pPr>
      <w:r>
        <w:rPr>
          <w:rFonts w:ascii="Arial" w:hAnsi="Arial"/>
          <w:lang w:val="es-AR"/>
        </w:rPr>
        <w:t>El Proyecto debe respetar los derechos adquiridos y aquellos en curso de adquisición. Fundamentalmente de aquellos con muchos años de aportación en el régimen actual y de aquellos que ya fueron alcanzados por una reforma.</w:t>
      </w:r>
    </w:p>
    <w:p w14:paraId="0BC7838B" w14:textId="77777777" w:rsidR="00E436AC" w:rsidRDefault="008F3920">
      <w:pPr>
        <w:spacing w:line="360" w:lineRule="auto"/>
        <w:ind w:left="680"/>
        <w:jc w:val="both"/>
        <w:rPr>
          <w:rFonts w:ascii="Arial" w:hAnsi="Arial"/>
        </w:rPr>
      </w:pPr>
      <w:r>
        <w:rPr>
          <w:rFonts w:ascii="Arial" w:hAnsi="Arial"/>
          <w:lang w:val="es-AR"/>
        </w:rPr>
        <w:t xml:space="preserve">Se propone mantener el </w:t>
      </w:r>
      <w:r>
        <w:rPr>
          <w:rFonts w:ascii="Arial" w:hAnsi="Arial"/>
          <w:lang w:val="es-AR"/>
        </w:rPr>
        <w:t>régimen vigente actualmente para todos aquellos que configuren cualquier causal en todos los regímenes antes del 31/12/2034.</w:t>
      </w:r>
    </w:p>
    <w:p w14:paraId="000E30CF" w14:textId="77777777" w:rsidR="00E436AC" w:rsidRDefault="008F3920">
      <w:pPr>
        <w:spacing w:line="360" w:lineRule="auto"/>
        <w:ind w:left="680"/>
        <w:jc w:val="both"/>
        <w:rPr>
          <w:rFonts w:ascii="Arial" w:hAnsi="Arial"/>
        </w:rPr>
      </w:pPr>
      <w:r>
        <w:rPr>
          <w:rFonts w:ascii="Arial" w:hAnsi="Arial"/>
          <w:lang w:val="es-AR"/>
        </w:rPr>
        <w:t>Se propone que el aumento de edades en forma gradual alcance a los nacidos a partir del año 1974.</w:t>
      </w:r>
    </w:p>
    <w:p w14:paraId="3B73295A" w14:textId="77777777" w:rsidR="00E436AC" w:rsidRDefault="008F3920">
      <w:pPr>
        <w:spacing w:line="360" w:lineRule="auto"/>
        <w:ind w:left="680"/>
        <w:jc w:val="both"/>
        <w:rPr>
          <w:rFonts w:ascii="Arial" w:hAnsi="Arial"/>
        </w:rPr>
      </w:pPr>
      <w:r>
        <w:rPr>
          <w:rFonts w:ascii="Arial" w:hAnsi="Arial"/>
          <w:lang w:val="es-AR"/>
        </w:rPr>
        <w:t xml:space="preserve"> </w:t>
      </w:r>
      <w:r>
        <w:rPr>
          <w:rFonts w:ascii="Arial" w:hAnsi="Arial"/>
          <w:b/>
          <w:bCs/>
          <w:sz w:val="28"/>
          <w:szCs w:val="28"/>
          <w:lang w:val="es-AR"/>
        </w:rPr>
        <w:t xml:space="preserve">3. </w:t>
      </w:r>
      <w:r>
        <w:rPr>
          <w:rFonts w:ascii="Arial" w:hAnsi="Arial"/>
          <w:b/>
          <w:bCs/>
          <w:sz w:val="28"/>
          <w:szCs w:val="28"/>
          <w:u w:val="single"/>
          <w:lang w:val="es-AR"/>
        </w:rPr>
        <w:t>Convergencia</w:t>
      </w:r>
    </w:p>
    <w:p w14:paraId="4C06255B" w14:textId="77777777" w:rsidR="00E436AC" w:rsidRDefault="008F3920">
      <w:pPr>
        <w:spacing w:line="360" w:lineRule="auto"/>
        <w:ind w:left="680"/>
        <w:jc w:val="both"/>
        <w:rPr>
          <w:rFonts w:ascii="Arial" w:hAnsi="Arial"/>
        </w:rPr>
      </w:pPr>
      <w:r>
        <w:rPr>
          <w:rFonts w:ascii="Arial" w:hAnsi="Arial"/>
          <w:lang w:val="es-AR"/>
        </w:rPr>
        <w:t xml:space="preserve">Aumentar la </w:t>
      </w:r>
      <w:r>
        <w:rPr>
          <w:rFonts w:ascii="Arial" w:hAnsi="Arial"/>
          <w:lang w:val="es-AR"/>
        </w:rPr>
        <w:t>gradualidad prevista en el anteproyecto, abarcando un número mayor de años de la historia laboral.</w:t>
      </w:r>
    </w:p>
    <w:p w14:paraId="22D3FC5C" w14:textId="77777777" w:rsidR="00E436AC" w:rsidRDefault="008F3920">
      <w:pPr>
        <w:spacing w:line="360" w:lineRule="auto"/>
        <w:ind w:left="680"/>
        <w:jc w:val="both"/>
        <w:rPr>
          <w:rFonts w:ascii="Arial" w:hAnsi="Arial"/>
        </w:rPr>
      </w:pPr>
      <w:r>
        <w:rPr>
          <w:rFonts w:ascii="Arial" w:hAnsi="Arial"/>
          <w:lang w:val="es-AR"/>
        </w:rPr>
        <w:t>Se propone la convergencia se efectúe en un plazo de 30 años en lugar de los 20 años previstos en el anteproyecto.</w:t>
      </w:r>
    </w:p>
    <w:p w14:paraId="39852944" w14:textId="77777777" w:rsidR="00E436AC" w:rsidRDefault="008F392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lang w:val="es-AR"/>
        </w:rPr>
        <w:tab/>
      </w:r>
      <w:r>
        <w:rPr>
          <w:rFonts w:ascii="Arial" w:hAnsi="Arial"/>
          <w:b/>
          <w:bCs/>
          <w:sz w:val="28"/>
          <w:szCs w:val="28"/>
          <w:lang w:val="es-AR"/>
        </w:rPr>
        <w:t xml:space="preserve">4. </w:t>
      </w:r>
      <w:r>
        <w:rPr>
          <w:rFonts w:ascii="Arial" w:hAnsi="Arial"/>
          <w:b/>
          <w:bCs/>
          <w:sz w:val="28"/>
          <w:szCs w:val="28"/>
          <w:u w:val="single"/>
          <w:lang w:val="es-AR"/>
        </w:rPr>
        <w:t>Régimen Pensionario</w:t>
      </w:r>
    </w:p>
    <w:p w14:paraId="448CF95C" w14:textId="77777777" w:rsidR="00E436AC" w:rsidRDefault="008F3920">
      <w:pPr>
        <w:numPr>
          <w:ilvl w:val="0"/>
          <w:numId w:val="3"/>
        </w:numPr>
        <w:spacing w:line="360" w:lineRule="auto"/>
        <w:ind w:left="0" w:firstLine="737"/>
        <w:jc w:val="both"/>
        <w:rPr>
          <w:rFonts w:hint="eastAsia"/>
        </w:rPr>
      </w:pPr>
      <w:r>
        <w:rPr>
          <w:rFonts w:ascii="Arial" w:hAnsi="Arial"/>
          <w:lang w:val="es-AR"/>
        </w:rPr>
        <w:t>Condiciones de eda</w:t>
      </w:r>
      <w:r>
        <w:rPr>
          <w:rFonts w:ascii="Arial" w:hAnsi="Arial"/>
          <w:lang w:val="es-AR"/>
        </w:rPr>
        <w:t xml:space="preserve">d para viudez y equiparadas </w:t>
      </w:r>
    </w:p>
    <w:p w14:paraId="6F470839" w14:textId="77777777" w:rsidR="00E436AC" w:rsidRDefault="008F3920">
      <w:pPr>
        <w:spacing w:line="360" w:lineRule="auto"/>
        <w:ind w:left="737"/>
        <w:jc w:val="both"/>
        <w:rPr>
          <w:rFonts w:ascii="Arial" w:hAnsi="Arial"/>
        </w:rPr>
      </w:pPr>
      <w:r>
        <w:rPr>
          <w:rFonts w:ascii="Arial" w:hAnsi="Arial"/>
          <w:lang w:val="es-AR"/>
        </w:rPr>
        <w:t>Se propone lo previsto en Recomendaciones CESS elevar en 5 años (40 a 45) para pensión vitalicia. Eventualmente un aumento posterior gradual hasta alcanzar los 50 años.</w:t>
      </w:r>
    </w:p>
    <w:p w14:paraId="13136FB1" w14:textId="77777777" w:rsidR="00E436AC" w:rsidRDefault="008F3920">
      <w:pPr>
        <w:numPr>
          <w:ilvl w:val="0"/>
          <w:numId w:val="3"/>
        </w:numPr>
        <w:spacing w:line="360" w:lineRule="auto"/>
        <w:ind w:left="0" w:firstLine="737"/>
        <w:jc w:val="both"/>
        <w:rPr>
          <w:rFonts w:ascii="Arial" w:hAnsi="Arial"/>
        </w:rPr>
      </w:pPr>
      <w:r>
        <w:rPr>
          <w:rFonts w:ascii="Arial" w:hAnsi="Arial"/>
          <w:lang w:val="es-AR"/>
        </w:rPr>
        <w:t>Condiciones de ingreso sin discriminación por sexo.</w:t>
      </w:r>
    </w:p>
    <w:p w14:paraId="6BB08BE0" w14:textId="77777777" w:rsidR="00E436AC" w:rsidRDefault="008F3920">
      <w:pPr>
        <w:spacing w:line="360" w:lineRule="auto"/>
        <w:ind w:left="737"/>
        <w:jc w:val="both"/>
        <w:rPr>
          <w:rFonts w:ascii="Arial" w:hAnsi="Arial"/>
        </w:rPr>
      </w:pPr>
      <w:r>
        <w:rPr>
          <w:rFonts w:ascii="Arial" w:hAnsi="Arial"/>
          <w:lang w:val="es-AR"/>
        </w:rPr>
        <w:t>Establ</w:t>
      </w:r>
      <w:r>
        <w:rPr>
          <w:rFonts w:ascii="Arial" w:hAnsi="Arial"/>
          <w:lang w:val="es-AR"/>
        </w:rPr>
        <w:t>ecer un tope máximo de ingresos para percibir pensión sin detracciones de  $ 75.000 y un tope de $ 150.000.- a partir del cual no se percibirá  pensión.</w:t>
      </w:r>
    </w:p>
    <w:p w14:paraId="6EF30184" w14:textId="77777777" w:rsidR="00E436AC" w:rsidRDefault="008F3920">
      <w:pPr>
        <w:numPr>
          <w:ilvl w:val="0"/>
          <w:numId w:val="3"/>
        </w:numPr>
        <w:spacing w:line="360" w:lineRule="auto"/>
        <w:ind w:left="0" w:firstLine="737"/>
        <w:jc w:val="both"/>
        <w:rPr>
          <w:rFonts w:ascii="Arial" w:hAnsi="Arial"/>
        </w:rPr>
      </w:pPr>
      <w:r>
        <w:rPr>
          <w:rFonts w:ascii="Arial" w:hAnsi="Arial"/>
          <w:lang w:val="es-AR"/>
        </w:rPr>
        <w:t>Vigencia e implementación, período de transición.</w:t>
      </w:r>
    </w:p>
    <w:p w14:paraId="7B8E0994" w14:textId="77777777" w:rsidR="00E436AC" w:rsidRDefault="008F3920">
      <w:pPr>
        <w:spacing w:line="360" w:lineRule="auto"/>
        <w:ind w:left="737"/>
        <w:jc w:val="both"/>
        <w:rPr>
          <w:rFonts w:ascii="Arial" w:hAnsi="Arial"/>
        </w:rPr>
      </w:pPr>
      <w:r>
        <w:rPr>
          <w:rFonts w:ascii="Arial" w:hAnsi="Arial"/>
          <w:lang w:val="es-AR"/>
        </w:rPr>
        <w:t>Se propone que los cambios en materia de edad del ben</w:t>
      </w:r>
      <w:r>
        <w:rPr>
          <w:rFonts w:ascii="Arial" w:hAnsi="Arial"/>
          <w:lang w:val="es-AR"/>
        </w:rPr>
        <w:t>eficiario para percibir pensión vitalicia, no sea de aplicación a los actuales jubilados, ni a los activos con 50 o más años de edad.</w:t>
      </w:r>
    </w:p>
    <w:p w14:paraId="131270DF" w14:textId="77777777" w:rsidR="00E436AC" w:rsidRDefault="008F3920">
      <w:pPr>
        <w:spacing w:line="360" w:lineRule="auto"/>
        <w:ind w:left="709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s-AR"/>
        </w:rPr>
        <w:t xml:space="preserve">5.  </w:t>
      </w:r>
      <w:r>
        <w:rPr>
          <w:rFonts w:ascii="Arial" w:hAnsi="Arial"/>
          <w:b/>
          <w:bCs/>
          <w:sz w:val="28"/>
          <w:szCs w:val="28"/>
          <w:u w:val="single"/>
          <w:lang w:val="es-AR"/>
        </w:rPr>
        <w:t>Edades de retiro y bonificaciones</w:t>
      </w:r>
    </w:p>
    <w:p w14:paraId="4580E976" w14:textId="77777777" w:rsidR="00E436AC" w:rsidRDefault="008F3920">
      <w:pPr>
        <w:spacing w:line="360" w:lineRule="auto"/>
        <w:ind w:left="709"/>
        <w:jc w:val="both"/>
        <w:rPr>
          <w:rFonts w:ascii="Arial" w:hAnsi="Arial"/>
        </w:rPr>
      </w:pPr>
      <w:r>
        <w:rPr>
          <w:rFonts w:ascii="Arial" w:hAnsi="Arial"/>
          <w:lang w:val="es-AR"/>
        </w:rPr>
        <w:t xml:space="preserve">a) Retiro </w:t>
      </w:r>
    </w:p>
    <w:p w14:paraId="7D893485" w14:textId="77777777" w:rsidR="00E436AC" w:rsidRDefault="008F3920">
      <w:pPr>
        <w:spacing w:line="360" w:lineRule="auto"/>
        <w:ind w:left="709"/>
        <w:jc w:val="both"/>
        <w:rPr>
          <w:rFonts w:ascii="Arial" w:hAnsi="Arial"/>
        </w:rPr>
      </w:pPr>
      <w:r>
        <w:rPr>
          <w:rFonts w:ascii="Arial" w:hAnsi="Arial"/>
          <w:lang w:val="es-AR"/>
        </w:rPr>
        <w:t xml:space="preserve">No se comparte establecer por Ley edades diferenciales para determinados </w:t>
      </w:r>
      <w:r>
        <w:rPr>
          <w:rFonts w:ascii="Arial" w:hAnsi="Arial"/>
          <w:lang w:val="es-AR"/>
        </w:rPr>
        <w:t>colectivos. Se propone que la elevación de retiro sea igual y universal para todas las actividades y que las especificidades  sean contempladas mediante el otorgamiento de bonificaciones.</w:t>
      </w:r>
    </w:p>
    <w:p w14:paraId="13B0DEA9" w14:textId="77777777" w:rsidR="00E436AC" w:rsidRDefault="008F3920">
      <w:pPr>
        <w:spacing w:line="360" w:lineRule="auto"/>
        <w:ind w:left="709"/>
        <w:jc w:val="both"/>
        <w:rPr>
          <w:rFonts w:ascii="Arial" w:hAnsi="Arial"/>
        </w:rPr>
      </w:pPr>
      <w:r>
        <w:rPr>
          <w:rFonts w:ascii="Arial" w:hAnsi="Arial"/>
          <w:lang w:val="es-AR"/>
        </w:rPr>
        <w:t xml:space="preserve">b) Bonificaciones </w:t>
      </w:r>
    </w:p>
    <w:p w14:paraId="035AB51E" w14:textId="7AB24CAF" w:rsidR="00E436AC" w:rsidRDefault="008F3920">
      <w:pPr>
        <w:spacing w:line="360" w:lineRule="auto"/>
        <w:ind w:left="709"/>
        <w:jc w:val="both"/>
        <w:rPr>
          <w:rFonts w:ascii="Arial" w:hAnsi="Arial"/>
        </w:rPr>
      </w:pPr>
      <w:r>
        <w:rPr>
          <w:rFonts w:ascii="Arial" w:hAnsi="Arial"/>
          <w:lang w:val="es-AR"/>
        </w:rPr>
        <w:t>Considerando la exten</w:t>
      </w:r>
      <w:r w:rsidR="009B5AD4">
        <w:rPr>
          <w:rFonts w:ascii="Arial" w:hAnsi="Arial"/>
          <w:lang w:val="es-AR"/>
        </w:rPr>
        <w:t>s</w:t>
      </w:r>
      <w:r>
        <w:rPr>
          <w:rFonts w:ascii="Arial" w:hAnsi="Arial"/>
          <w:lang w:val="es-AR"/>
        </w:rPr>
        <w:t>ión en el plazo de la entra</w:t>
      </w:r>
      <w:r>
        <w:rPr>
          <w:rFonts w:ascii="Arial" w:hAnsi="Arial"/>
          <w:lang w:val="es-AR"/>
        </w:rPr>
        <w:t xml:space="preserve">da en vigencia de la reforma propuesta (2), se entiende necesario crear una Comisión que analice y determine las </w:t>
      </w:r>
      <w:r>
        <w:rPr>
          <w:rFonts w:ascii="Arial" w:hAnsi="Arial"/>
          <w:lang w:val="es-AR"/>
        </w:rPr>
        <w:lastRenderedPageBreak/>
        <w:t>diferentes bonificaciones existentes, considerando las especificidades de los diferentes sistemas o subsistemas, en base a factores de salud oc</w:t>
      </w:r>
      <w:r>
        <w:rPr>
          <w:rFonts w:ascii="Arial" w:hAnsi="Arial"/>
          <w:lang w:val="es-AR"/>
        </w:rPr>
        <w:t>upacional y criterios técnicos uniformes.</w:t>
      </w:r>
    </w:p>
    <w:p w14:paraId="49E2EA75" w14:textId="77777777" w:rsidR="00E436AC" w:rsidRDefault="008F3920">
      <w:pPr>
        <w:spacing w:line="360" w:lineRule="auto"/>
        <w:ind w:left="709"/>
        <w:jc w:val="both"/>
        <w:rPr>
          <w:rFonts w:ascii="Arial" w:hAnsi="Arial"/>
        </w:rPr>
      </w:pPr>
      <w:r>
        <w:rPr>
          <w:rFonts w:ascii="Arial" w:hAnsi="Arial"/>
          <w:lang w:val="es-AR"/>
        </w:rPr>
        <w:t>El plazo de 2 años para su conformación y dictamen se entiende adecuado, la integración deberá considerar la participación de representantes de todos los sistemas.</w:t>
      </w:r>
    </w:p>
    <w:p w14:paraId="21496AF0" w14:textId="77777777" w:rsidR="00E436AC" w:rsidRDefault="008F3920">
      <w:pPr>
        <w:spacing w:line="360" w:lineRule="auto"/>
        <w:ind w:left="794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s-AR"/>
        </w:rPr>
        <w:t xml:space="preserve">6. </w:t>
      </w:r>
      <w:r>
        <w:rPr>
          <w:rFonts w:ascii="Arial" w:hAnsi="Arial"/>
          <w:b/>
          <w:bCs/>
          <w:sz w:val="28"/>
          <w:szCs w:val="28"/>
          <w:u w:val="single"/>
          <w:lang w:val="es-AR"/>
        </w:rPr>
        <w:t>Incompatibilidad edad avanzada - Acumulación.</w:t>
      </w:r>
    </w:p>
    <w:p w14:paraId="18984A43" w14:textId="77777777" w:rsidR="00E436AC" w:rsidRDefault="008F3920">
      <w:pPr>
        <w:spacing w:line="360" w:lineRule="auto"/>
        <w:ind w:left="794"/>
        <w:jc w:val="both"/>
        <w:rPr>
          <w:rFonts w:ascii="Arial" w:hAnsi="Arial"/>
        </w:rPr>
      </w:pPr>
      <w:r>
        <w:rPr>
          <w:rFonts w:ascii="Arial" w:hAnsi="Arial"/>
          <w:lang w:val="es-AR"/>
        </w:rPr>
        <w:t>A</w:t>
      </w:r>
      <w:r>
        <w:rPr>
          <w:rFonts w:ascii="Arial" w:hAnsi="Arial"/>
          <w:lang w:val="es-AR"/>
        </w:rPr>
        <w:t xml:space="preserve"> efectos de lograr el objetivo de justicia y mayor formalización señalado en 1 d) se propone:</w:t>
      </w:r>
    </w:p>
    <w:p w14:paraId="2565B459" w14:textId="77777777" w:rsidR="00E436AC" w:rsidRDefault="008F392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  <w:lang w:val="es-AR"/>
        </w:rPr>
        <w:t>Eliminar las actuales incompatibilidades entre la configuración de las distintas causales de edad avanzada, permitiendo sean compatibles con cualquier otra jubila</w:t>
      </w:r>
      <w:r>
        <w:rPr>
          <w:rFonts w:ascii="Arial" w:hAnsi="Arial"/>
          <w:szCs w:val="24"/>
          <w:lang w:val="es-AR"/>
        </w:rPr>
        <w:t>ción.</w:t>
      </w:r>
    </w:p>
    <w:p w14:paraId="49C48329" w14:textId="77777777" w:rsidR="00E436AC" w:rsidRDefault="008F392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  <w:lang w:val="es-AR"/>
        </w:rPr>
        <w:t>Permitir la acumulación para configurar causal de años incluidos en una pasividad.</w:t>
      </w:r>
    </w:p>
    <w:p w14:paraId="12E8AB04" w14:textId="77777777" w:rsidR="00E436AC" w:rsidRDefault="008F3920">
      <w:pPr>
        <w:spacing w:line="360" w:lineRule="auto"/>
        <w:ind w:left="794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7. </w:t>
      </w:r>
      <w:r>
        <w:rPr>
          <w:rFonts w:ascii="Arial" w:hAnsi="Arial"/>
          <w:b/>
          <w:bCs/>
          <w:sz w:val="28"/>
          <w:szCs w:val="28"/>
          <w:u w:val="single"/>
        </w:rPr>
        <w:t>AFAP.</w:t>
      </w:r>
    </w:p>
    <w:p w14:paraId="02F57A3F" w14:textId="77777777" w:rsidR="00E436AC" w:rsidRDefault="008F392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lang w:val="es-AR"/>
        </w:rPr>
        <w:tab/>
        <w:t xml:space="preserve">Respecto a la inclusión de los trabajadores que se incorporen a partir de la reforma </w:t>
      </w:r>
      <w:r>
        <w:rPr>
          <w:rFonts w:ascii="Arial" w:hAnsi="Arial"/>
          <w:lang w:val="es-AR"/>
        </w:rPr>
        <w:tab/>
        <w:t>en régimen mixto se propone:</w:t>
      </w:r>
    </w:p>
    <w:p w14:paraId="1E5F626F" w14:textId="77777777" w:rsidR="00E436AC" w:rsidRDefault="008F392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lang w:val="es-AR"/>
        </w:rPr>
        <w:tab/>
      </w:r>
      <w:r>
        <w:rPr>
          <w:rFonts w:ascii="Arial" w:hAnsi="Arial"/>
          <w:lang w:val="es-AR"/>
        </w:rPr>
        <w:t xml:space="preserve">a) Mantener el régimen mixto por tramos de ingresos como está establecido en la </w:t>
      </w:r>
      <w:r>
        <w:rPr>
          <w:rFonts w:ascii="Arial" w:hAnsi="Arial"/>
          <w:lang w:val="es-AR"/>
        </w:rPr>
        <w:tab/>
        <w:t xml:space="preserve">Ley 16713, manteniendo la opción voluntaria por art. 8 de aquellos que por sus </w:t>
      </w:r>
      <w:r>
        <w:rPr>
          <w:rFonts w:ascii="Arial" w:hAnsi="Arial"/>
          <w:lang w:val="es-AR"/>
        </w:rPr>
        <w:tab/>
        <w:t>ingresos no resulten obligados.</w:t>
      </w:r>
    </w:p>
    <w:p w14:paraId="4C5001DC" w14:textId="77777777" w:rsidR="00E436AC" w:rsidRDefault="008F392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lang w:val="es-AR"/>
        </w:rPr>
        <w:tab/>
        <w:t>b) Establecer la obligación de las actuales o futuras AFAP par</w:t>
      </w:r>
      <w:r>
        <w:rPr>
          <w:rFonts w:ascii="Arial" w:hAnsi="Arial"/>
          <w:lang w:val="es-AR"/>
        </w:rPr>
        <w:t xml:space="preserve">a participar en la </w:t>
      </w:r>
      <w:r>
        <w:rPr>
          <w:rFonts w:ascii="Arial" w:hAnsi="Arial"/>
          <w:lang w:val="es-AR"/>
        </w:rPr>
        <w:tab/>
        <w:t xml:space="preserve">etapa de ahorro, hacerse cargo de la etapa pago de pasividades a través de una </w:t>
      </w:r>
      <w:r>
        <w:rPr>
          <w:rFonts w:ascii="Arial" w:hAnsi="Arial"/>
          <w:lang w:val="es-AR"/>
        </w:rPr>
        <w:tab/>
        <w:t>aseguradora diferente al BSE.</w:t>
      </w:r>
    </w:p>
    <w:p w14:paraId="346434FB" w14:textId="77777777" w:rsidR="00E436AC" w:rsidRDefault="008F392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lang w:val="es-AR"/>
        </w:rPr>
        <w:tab/>
        <w:t xml:space="preserve">c) Integrar el ahorro en las cuentas personales c/aportes personal como hasta el </w:t>
      </w:r>
      <w:r>
        <w:rPr>
          <w:rFonts w:ascii="Arial" w:hAnsi="Arial"/>
          <w:lang w:val="es-AR"/>
        </w:rPr>
        <w:tab/>
        <w:t xml:space="preserve">presente, agregando una </w:t>
      </w:r>
      <w:proofErr w:type="spellStart"/>
      <w:r>
        <w:rPr>
          <w:rFonts w:ascii="Arial" w:hAnsi="Arial"/>
          <w:lang w:val="es-AR"/>
        </w:rPr>
        <w:t>cuotaparte</w:t>
      </w:r>
      <w:proofErr w:type="spellEnd"/>
      <w:r>
        <w:rPr>
          <w:rFonts w:ascii="Arial" w:hAnsi="Arial"/>
          <w:lang w:val="es-AR"/>
        </w:rPr>
        <w:t xml:space="preserve"> del apor</w:t>
      </w:r>
      <w:r>
        <w:rPr>
          <w:rFonts w:ascii="Arial" w:hAnsi="Arial"/>
          <w:lang w:val="es-AR"/>
        </w:rPr>
        <w:t>te patronal</w:t>
      </w:r>
    </w:p>
    <w:p w14:paraId="035155C8" w14:textId="77777777" w:rsidR="00E436AC" w:rsidRDefault="008F3920">
      <w:pPr>
        <w:spacing w:line="360" w:lineRule="auto"/>
        <w:ind w:left="709"/>
        <w:jc w:val="both"/>
        <w:rPr>
          <w:rFonts w:hint="eastAsia"/>
        </w:rPr>
      </w:pPr>
      <w:r>
        <w:rPr>
          <w:rFonts w:ascii="Arial" w:hAnsi="Arial"/>
          <w:lang w:val="es-AR"/>
        </w:rPr>
        <w:t>d) Asegurar la competencia y reducción de los costos de administración, seguro de invalidez y fallecimiento.</w:t>
      </w:r>
    </w:p>
    <w:p w14:paraId="62548FE7" w14:textId="77777777" w:rsidR="00E436AC" w:rsidRDefault="008F3920">
      <w:pPr>
        <w:spacing w:line="360" w:lineRule="auto"/>
        <w:ind w:firstLine="709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s-AR"/>
        </w:rPr>
        <w:t xml:space="preserve">8. </w:t>
      </w:r>
      <w:r>
        <w:rPr>
          <w:rFonts w:ascii="Arial" w:hAnsi="Arial"/>
          <w:b/>
          <w:bCs/>
          <w:sz w:val="28"/>
          <w:szCs w:val="28"/>
          <w:u w:val="single"/>
          <w:lang w:val="es-AR"/>
        </w:rPr>
        <w:t>Policial</w:t>
      </w:r>
    </w:p>
    <w:p w14:paraId="61217E3D" w14:textId="77777777" w:rsidR="00E436AC" w:rsidRDefault="008F3920">
      <w:pPr>
        <w:spacing w:line="360" w:lineRule="auto"/>
        <w:ind w:left="794"/>
        <w:jc w:val="both"/>
        <w:rPr>
          <w:rFonts w:ascii="Arial" w:hAnsi="Arial"/>
        </w:rPr>
      </w:pPr>
      <w:r>
        <w:rPr>
          <w:rFonts w:ascii="Arial" w:hAnsi="Arial"/>
          <w:lang w:val="es-AR"/>
        </w:rPr>
        <w:t>Se propone:</w:t>
      </w:r>
    </w:p>
    <w:p w14:paraId="5CF4DB86" w14:textId="77777777" w:rsidR="00E436AC" w:rsidRDefault="008F3920">
      <w:pPr>
        <w:spacing w:line="360" w:lineRule="auto"/>
        <w:ind w:left="794"/>
        <w:jc w:val="both"/>
        <w:rPr>
          <w:rFonts w:ascii="Arial" w:hAnsi="Arial"/>
        </w:rPr>
      </w:pPr>
      <w:r>
        <w:rPr>
          <w:rFonts w:ascii="Arial" w:hAnsi="Arial"/>
          <w:lang w:val="es-AR"/>
        </w:rPr>
        <w:t>Acto de servicio para todo el personal policial, no solamente para el policía ejecutivo.</w:t>
      </w:r>
    </w:p>
    <w:p w14:paraId="38969D10" w14:textId="2534DA5A" w:rsidR="00E436AC" w:rsidRDefault="008F3920">
      <w:pPr>
        <w:spacing w:line="360" w:lineRule="auto"/>
        <w:ind w:left="794"/>
        <w:jc w:val="both"/>
        <w:rPr>
          <w:rFonts w:ascii="Arial" w:hAnsi="Arial"/>
          <w:lang w:val="es-AR"/>
        </w:rPr>
      </w:pPr>
      <w:r>
        <w:rPr>
          <w:rFonts w:ascii="Arial" w:hAnsi="Arial"/>
          <w:lang w:val="es-AR"/>
        </w:rPr>
        <w:t>Mantener las bonificac</w:t>
      </w:r>
      <w:r>
        <w:rPr>
          <w:rFonts w:ascii="Arial" w:hAnsi="Arial"/>
          <w:lang w:val="es-AR"/>
        </w:rPr>
        <w:t>iones actuales</w:t>
      </w:r>
    </w:p>
    <w:p w14:paraId="77A97427" w14:textId="0758F11F" w:rsidR="009B5AD4" w:rsidRDefault="009B5AD4">
      <w:pPr>
        <w:spacing w:line="360" w:lineRule="auto"/>
        <w:ind w:left="794"/>
        <w:jc w:val="both"/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</w:rPr>
        <w:t xml:space="preserve">9. </w:t>
      </w:r>
      <w:proofErr w:type="spellStart"/>
      <w:r w:rsidRPr="009B5AD4">
        <w:rPr>
          <w:rFonts w:ascii="Arial" w:hAnsi="Arial"/>
          <w:b/>
          <w:bCs/>
          <w:sz w:val="28"/>
          <w:szCs w:val="28"/>
          <w:u w:val="single"/>
        </w:rPr>
        <w:t>Militar</w:t>
      </w:r>
      <w:proofErr w:type="spellEnd"/>
    </w:p>
    <w:p w14:paraId="7A26D746" w14:textId="7E203592" w:rsidR="009B5AD4" w:rsidRPr="009B5AD4" w:rsidRDefault="009B5AD4">
      <w:pPr>
        <w:spacing w:line="360" w:lineRule="auto"/>
        <w:ind w:left="794"/>
        <w:jc w:val="both"/>
        <w:rPr>
          <w:rFonts w:ascii="Arial" w:hAnsi="Arial"/>
        </w:rPr>
      </w:pPr>
      <w:r>
        <w:rPr>
          <w:rFonts w:ascii="Arial" w:hAnsi="Arial"/>
        </w:rPr>
        <w:t xml:space="preserve">Se </w:t>
      </w:r>
      <w:proofErr w:type="spellStart"/>
      <w:r>
        <w:rPr>
          <w:rFonts w:ascii="Arial" w:hAnsi="Arial"/>
        </w:rPr>
        <w:t>considerará</w:t>
      </w:r>
      <w:r w:rsidR="00C917E5">
        <w:rPr>
          <w:rFonts w:ascii="Arial" w:hAnsi="Arial"/>
        </w:rPr>
        <w:t>n</w:t>
      </w:r>
      <w:proofErr w:type="spellEnd"/>
      <w:r>
        <w:rPr>
          <w:rFonts w:ascii="Arial" w:hAnsi="Arial"/>
        </w:rPr>
        <w:t xml:space="preserve"> los </w:t>
      </w:r>
      <w:proofErr w:type="spellStart"/>
      <w:r>
        <w:rPr>
          <w:rFonts w:ascii="Arial" w:hAnsi="Arial"/>
        </w:rPr>
        <w:t>planteos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efectuados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por</w:t>
      </w:r>
      <w:proofErr w:type="spellEnd"/>
      <w:r>
        <w:rPr>
          <w:rFonts w:ascii="Arial" w:hAnsi="Arial"/>
        </w:rPr>
        <w:t xml:space="preserve"> el SRPFFAA al </w:t>
      </w:r>
      <w:proofErr w:type="spellStart"/>
      <w:r>
        <w:rPr>
          <w:rFonts w:ascii="Arial" w:hAnsi="Arial"/>
        </w:rPr>
        <w:t>equipo</w:t>
      </w:r>
      <w:proofErr w:type="spellEnd"/>
      <w:r>
        <w:rPr>
          <w:rFonts w:ascii="Arial" w:hAnsi="Arial"/>
        </w:rPr>
        <w:t xml:space="preserve"> redactor </w:t>
      </w:r>
      <w:proofErr w:type="gramStart"/>
      <w:r>
        <w:rPr>
          <w:rFonts w:ascii="Arial" w:hAnsi="Arial"/>
        </w:rPr>
        <w:t>del</w:t>
      </w:r>
      <w:proofErr w:type="gramEnd"/>
      <w:r>
        <w:rPr>
          <w:rFonts w:ascii="Arial" w:hAnsi="Arial"/>
        </w:rPr>
        <w:t xml:space="preserve"> Proyecto de Ley.</w:t>
      </w:r>
    </w:p>
    <w:p w14:paraId="0514528C" w14:textId="6BB8D6F5" w:rsidR="00E436AC" w:rsidRDefault="009B5AD4">
      <w:pPr>
        <w:spacing w:line="360" w:lineRule="auto"/>
        <w:ind w:left="794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s-AR"/>
        </w:rPr>
        <w:lastRenderedPageBreak/>
        <w:t xml:space="preserve">10. </w:t>
      </w:r>
      <w:r>
        <w:rPr>
          <w:rFonts w:ascii="Arial" w:hAnsi="Arial"/>
          <w:b/>
          <w:bCs/>
          <w:sz w:val="28"/>
          <w:szCs w:val="28"/>
          <w:u w:val="single"/>
          <w:lang w:val="es-AR"/>
        </w:rPr>
        <w:t>Decreto Feb 2020 PER</w:t>
      </w:r>
    </w:p>
    <w:p w14:paraId="77AF6F44" w14:textId="77777777" w:rsidR="00E436AC" w:rsidRDefault="008F3920">
      <w:pPr>
        <w:spacing w:line="360" w:lineRule="auto"/>
        <w:ind w:left="794"/>
        <w:jc w:val="both"/>
        <w:rPr>
          <w:rFonts w:ascii="Arial" w:hAnsi="Arial"/>
        </w:rPr>
      </w:pPr>
      <w:r>
        <w:rPr>
          <w:rFonts w:ascii="Arial" w:hAnsi="Arial"/>
          <w:lang w:val="es-AR"/>
        </w:rPr>
        <w:t>Se propone su derogación.</w:t>
      </w:r>
    </w:p>
    <w:p w14:paraId="204C7C91" w14:textId="118EC274" w:rsidR="00E436AC" w:rsidRDefault="008F3920">
      <w:pPr>
        <w:spacing w:line="360" w:lineRule="auto"/>
        <w:ind w:left="794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s-AR"/>
        </w:rPr>
        <w:t>1</w:t>
      </w:r>
      <w:r w:rsidR="009B5AD4">
        <w:rPr>
          <w:rFonts w:ascii="Arial" w:hAnsi="Arial"/>
          <w:b/>
          <w:bCs/>
          <w:sz w:val="28"/>
          <w:szCs w:val="28"/>
          <w:lang w:val="es-AR"/>
        </w:rPr>
        <w:t>1</w:t>
      </w:r>
      <w:r>
        <w:rPr>
          <w:rFonts w:ascii="Arial" w:hAnsi="Arial"/>
          <w:b/>
          <w:bCs/>
          <w:sz w:val="28"/>
          <w:szCs w:val="28"/>
          <w:lang w:val="es-AR"/>
        </w:rPr>
        <w:t xml:space="preserve">. </w:t>
      </w:r>
      <w:r>
        <w:rPr>
          <w:rFonts w:ascii="Arial" w:hAnsi="Arial"/>
          <w:b/>
          <w:bCs/>
          <w:sz w:val="28"/>
          <w:szCs w:val="28"/>
          <w:u w:val="single"/>
          <w:lang w:val="es-AR"/>
        </w:rPr>
        <w:t>Calculo del sueldo básico jubilatorio</w:t>
      </w:r>
    </w:p>
    <w:p w14:paraId="315379B4" w14:textId="77777777" w:rsidR="00E436AC" w:rsidRDefault="008F3920">
      <w:pPr>
        <w:spacing w:line="360" w:lineRule="auto"/>
        <w:ind w:left="794"/>
        <w:jc w:val="both"/>
        <w:rPr>
          <w:rFonts w:ascii="Arial" w:hAnsi="Arial"/>
        </w:rPr>
      </w:pPr>
      <w:r>
        <w:rPr>
          <w:rFonts w:ascii="Arial" w:hAnsi="Arial"/>
          <w:lang w:val="es-AR"/>
        </w:rPr>
        <w:t xml:space="preserve">Se propone extender a todos los sistemas </w:t>
      </w:r>
      <w:r>
        <w:rPr>
          <w:rFonts w:ascii="Arial" w:hAnsi="Arial"/>
          <w:lang w:val="es-AR"/>
        </w:rPr>
        <w:t>como está previsto hoy en el BPS, últimos 10 años o los mejores 20 años más un 5%.</w:t>
      </w:r>
    </w:p>
    <w:p w14:paraId="6A70BC9D" w14:textId="36B5F90D" w:rsidR="00E436AC" w:rsidRDefault="008F3920">
      <w:pPr>
        <w:spacing w:line="360" w:lineRule="auto"/>
        <w:ind w:left="794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s-AR"/>
        </w:rPr>
        <w:t>1</w:t>
      </w:r>
      <w:r w:rsidR="009B5AD4">
        <w:rPr>
          <w:rFonts w:ascii="Arial" w:hAnsi="Arial"/>
          <w:b/>
          <w:bCs/>
          <w:sz w:val="28"/>
          <w:szCs w:val="28"/>
          <w:lang w:val="es-AR"/>
        </w:rPr>
        <w:t>2</w:t>
      </w:r>
      <w:r>
        <w:rPr>
          <w:rFonts w:ascii="Arial" w:hAnsi="Arial"/>
          <w:b/>
          <w:bCs/>
          <w:sz w:val="28"/>
          <w:szCs w:val="28"/>
          <w:lang w:val="es-AR"/>
        </w:rPr>
        <w:t>.</w:t>
      </w:r>
      <w:r>
        <w:rPr>
          <w:rFonts w:ascii="Arial" w:hAnsi="Arial"/>
          <w:b/>
          <w:bCs/>
          <w:sz w:val="28"/>
          <w:szCs w:val="28"/>
          <w:u w:val="single"/>
          <w:lang w:val="es-AR"/>
        </w:rPr>
        <w:t xml:space="preserve"> C</w:t>
      </w:r>
      <w:r w:rsidR="00C917E5">
        <w:rPr>
          <w:rFonts w:ascii="Arial" w:hAnsi="Arial"/>
          <w:b/>
          <w:bCs/>
          <w:sz w:val="28"/>
          <w:szCs w:val="28"/>
          <w:u w:val="single"/>
          <w:lang w:val="es-AR"/>
        </w:rPr>
        <w:t>ó</w:t>
      </w:r>
      <w:r>
        <w:rPr>
          <w:rFonts w:ascii="Arial" w:hAnsi="Arial"/>
          <w:b/>
          <w:bCs/>
          <w:sz w:val="28"/>
          <w:szCs w:val="28"/>
          <w:u w:val="single"/>
          <w:lang w:val="es-AR"/>
        </w:rPr>
        <w:t>mputo por hijos</w:t>
      </w:r>
    </w:p>
    <w:p w14:paraId="0200C528" w14:textId="77777777" w:rsidR="00E436AC" w:rsidRDefault="008F3920">
      <w:pPr>
        <w:spacing w:line="360" w:lineRule="auto"/>
        <w:ind w:left="794"/>
        <w:jc w:val="both"/>
        <w:rPr>
          <w:rFonts w:ascii="Arial" w:hAnsi="Arial"/>
        </w:rPr>
      </w:pPr>
      <w:r>
        <w:rPr>
          <w:rFonts w:ascii="Arial" w:hAnsi="Arial"/>
          <w:lang w:val="es-AR"/>
        </w:rPr>
        <w:t>Se comparte la extensión del beneficio a todos los ámbitos de aplicación, pero se proponen las siguientes modificaciones:</w:t>
      </w:r>
    </w:p>
    <w:p w14:paraId="72983524" w14:textId="77777777" w:rsidR="00E436AC" w:rsidRDefault="008F3920">
      <w:pPr>
        <w:spacing w:line="360" w:lineRule="auto"/>
        <w:ind w:left="794"/>
        <w:jc w:val="both"/>
        <w:rPr>
          <w:rFonts w:ascii="Arial" w:hAnsi="Arial"/>
        </w:rPr>
      </w:pPr>
      <w:r>
        <w:rPr>
          <w:rFonts w:ascii="Arial" w:hAnsi="Arial"/>
          <w:lang w:val="es-AR"/>
        </w:rPr>
        <w:t>a) Hijos discapacitados otorg</w:t>
      </w:r>
      <w:r>
        <w:rPr>
          <w:rFonts w:ascii="Arial" w:hAnsi="Arial"/>
          <w:lang w:val="es-AR"/>
        </w:rPr>
        <w:t>ar 3 años (recomendación CESS)</w:t>
      </w:r>
    </w:p>
    <w:p w14:paraId="543BAD53" w14:textId="77777777" w:rsidR="00E436AC" w:rsidRDefault="008F3920">
      <w:pPr>
        <w:spacing w:line="360" w:lineRule="auto"/>
        <w:ind w:left="794"/>
        <w:jc w:val="both"/>
        <w:rPr>
          <w:rFonts w:ascii="Arial" w:hAnsi="Arial"/>
        </w:rPr>
      </w:pPr>
      <w:r>
        <w:rPr>
          <w:rFonts w:ascii="Arial" w:hAnsi="Arial"/>
          <w:lang w:val="es-AR"/>
        </w:rPr>
        <w:t>b) Incentivo a la natalidad – Otorgar de acuerdo a la siguiente escala.</w:t>
      </w:r>
    </w:p>
    <w:p w14:paraId="107534AD" w14:textId="77777777" w:rsidR="00E436AC" w:rsidRDefault="008F3920">
      <w:pPr>
        <w:spacing w:line="360" w:lineRule="auto"/>
        <w:ind w:left="794"/>
        <w:jc w:val="both"/>
        <w:rPr>
          <w:rFonts w:ascii="Arial" w:hAnsi="Arial"/>
        </w:rPr>
      </w:pPr>
      <w:r>
        <w:rPr>
          <w:rFonts w:ascii="Arial" w:hAnsi="Arial"/>
          <w:lang w:val="es-AR"/>
        </w:rPr>
        <w:t>1 hijo    1 año</w:t>
      </w:r>
    </w:p>
    <w:p w14:paraId="7B729D6C" w14:textId="77777777" w:rsidR="00E436AC" w:rsidRDefault="008F3920">
      <w:pPr>
        <w:spacing w:line="360" w:lineRule="auto"/>
        <w:ind w:left="794"/>
        <w:jc w:val="both"/>
        <w:rPr>
          <w:rFonts w:ascii="Arial" w:hAnsi="Arial"/>
        </w:rPr>
      </w:pPr>
      <w:r>
        <w:rPr>
          <w:rFonts w:ascii="Arial" w:hAnsi="Arial"/>
          <w:lang w:val="es-AR"/>
        </w:rPr>
        <w:t>2 hijos   3 años</w:t>
      </w:r>
    </w:p>
    <w:p w14:paraId="770E2A7F" w14:textId="77777777" w:rsidR="00E436AC" w:rsidRDefault="008F3920">
      <w:pPr>
        <w:spacing w:line="360" w:lineRule="auto"/>
        <w:ind w:left="794"/>
        <w:jc w:val="both"/>
        <w:rPr>
          <w:rFonts w:ascii="Arial" w:hAnsi="Arial"/>
        </w:rPr>
      </w:pPr>
      <w:r>
        <w:rPr>
          <w:rFonts w:ascii="Arial" w:hAnsi="Arial"/>
          <w:lang w:val="es-AR"/>
        </w:rPr>
        <w:t>3 hijos   6 años</w:t>
      </w:r>
    </w:p>
    <w:p w14:paraId="75814A7C" w14:textId="77777777" w:rsidR="00E436AC" w:rsidRDefault="008F3920">
      <w:pPr>
        <w:spacing w:line="360" w:lineRule="auto"/>
        <w:ind w:left="794"/>
        <w:jc w:val="both"/>
        <w:rPr>
          <w:rFonts w:ascii="Arial" w:hAnsi="Arial"/>
        </w:rPr>
      </w:pPr>
      <w:r>
        <w:rPr>
          <w:rFonts w:ascii="Arial" w:hAnsi="Arial"/>
          <w:lang w:val="es-AR"/>
        </w:rPr>
        <w:t>4 hijos   9 años</w:t>
      </w:r>
    </w:p>
    <w:p w14:paraId="7C137D17" w14:textId="77777777" w:rsidR="00E436AC" w:rsidRDefault="008F3920">
      <w:pPr>
        <w:spacing w:line="360" w:lineRule="auto"/>
        <w:ind w:left="794"/>
        <w:jc w:val="both"/>
        <w:rPr>
          <w:rFonts w:ascii="Arial" w:hAnsi="Arial"/>
        </w:rPr>
      </w:pPr>
      <w:r>
        <w:rPr>
          <w:rFonts w:ascii="Arial" w:hAnsi="Arial"/>
          <w:lang w:val="es-AR"/>
        </w:rPr>
        <w:t>5 o más 12 años.</w:t>
      </w:r>
    </w:p>
    <w:p w14:paraId="12B2D9EA" w14:textId="77777777" w:rsidR="00E436AC" w:rsidRDefault="008F3920">
      <w:pPr>
        <w:spacing w:line="360" w:lineRule="auto"/>
        <w:ind w:left="794"/>
        <w:jc w:val="both"/>
        <w:rPr>
          <w:rFonts w:ascii="Arial" w:hAnsi="Arial"/>
        </w:rPr>
      </w:pPr>
      <w:r>
        <w:rPr>
          <w:rFonts w:ascii="Arial" w:hAnsi="Arial"/>
        </w:rPr>
        <w:t xml:space="preserve">c) </w:t>
      </w:r>
      <w:proofErr w:type="spellStart"/>
      <w:r>
        <w:rPr>
          <w:rFonts w:ascii="Arial" w:hAnsi="Arial"/>
        </w:rPr>
        <w:t>Hijos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incapaces</w:t>
      </w:r>
      <w:proofErr w:type="spellEnd"/>
      <w:r>
        <w:rPr>
          <w:rFonts w:ascii="Arial" w:hAnsi="Arial"/>
        </w:rPr>
        <w:t xml:space="preserve">, extender </w:t>
      </w:r>
      <w:proofErr w:type="spellStart"/>
      <w:r>
        <w:rPr>
          <w:rFonts w:ascii="Arial" w:hAnsi="Arial"/>
        </w:rPr>
        <w:t>pensión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fuera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incapacidad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severa</w:t>
      </w:r>
      <w:proofErr w:type="spellEnd"/>
      <w:r>
        <w:rPr>
          <w:rFonts w:ascii="Arial" w:hAnsi="Arial"/>
        </w:rPr>
        <w:t>.</w:t>
      </w:r>
    </w:p>
    <w:p w14:paraId="725E918A" w14:textId="77777777" w:rsidR="00E436AC" w:rsidRDefault="00E436AC">
      <w:pPr>
        <w:spacing w:line="360" w:lineRule="auto"/>
        <w:ind w:left="794"/>
        <w:jc w:val="both"/>
        <w:rPr>
          <w:rFonts w:ascii="Arial" w:hAnsi="Arial"/>
        </w:rPr>
      </w:pPr>
    </w:p>
    <w:p w14:paraId="3102496E" w14:textId="77777777" w:rsidR="00E436AC" w:rsidRDefault="00E436AC">
      <w:pPr>
        <w:spacing w:line="360" w:lineRule="auto"/>
        <w:ind w:left="794"/>
        <w:jc w:val="both"/>
        <w:rPr>
          <w:rFonts w:ascii="Arial" w:hAnsi="Arial"/>
        </w:rPr>
      </w:pPr>
    </w:p>
    <w:p w14:paraId="3FC7C2D3" w14:textId="1D9A911C" w:rsidR="00E436AC" w:rsidRDefault="009B5AD4">
      <w:pPr>
        <w:spacing w:line="360" w:lineRule="auto"/>
        <w:ind w:left="794"/>
        <w:jc w:val="both"/>
        <w:rPr>
          <w:rFonts w:ascii="Arial" w:hAnsi="Arial"/>
        </w:rPr>
      </w:pPr>
      <w:r>
        <w:rPr>
          <w:rFonts w:ascii="Arial" w:hAnsi="Arial"/>
        </w:rPr>
        <w:t xml:space="preserve">Montevideo, 2 de </w:t>
      </w:r>
      <w:proofErr w:type="spellStart"/>
      <w:r>
        <w:rPr>
          <w:rFonts w:ascii="Arial" w:hAnsi="Arial"/>
        </w:rPr>
        <w:t>setiembre</w:t>
      </w:r>
      <w:proofErr w:type="spellEnd"/>
      <w:r>
        <w:rPr>
          <w:rFonts w:ascii="Arial" w:hAnsi="Arial"/>
        </w:rPr>
        <w:t xml:space="preserve"> de 2022</w:t>
      </w:r>
    </w:p>
    <w:p w14:paraId="6D89E587" w14:textId="77777777" w:rsidR="00E436AC" w:rsidRDefault="008F3920">
      <w:pPr>
        <w:spacing w:line="360" w:lineRule="auto"/>
        <w:ind w:left="794"/>
        <w:jc w:val="both"/>
        <w:rPr>
          <w:rFonts w:ascii="Arial" w:hAnsi="Arial"/>
        </w:rPr>
      </w:pPr>
      <w:r>
        <w:rPr>
          <w:rFonts w:ascii="Arial" w:hAnsi="Arial"/>
        </w:rPr>
        <w:t>EQUIPO DE ANÁLISIS DE LA REFORMA DE LA SEGURIDAD SOCIAL DE CABILDO ABIERTO</w:t>
      </w:r>
    </w:p>
    <w:sectPr w:rsidR="00E436AC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D4BDA"/>
    <w:multiLevelType w:val="multilevel"/>
    <w:tmpl w:val="6802A8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141020"/>
    <w:multiLevelType w:val="multilevel"/>
    <w:tmpl w:val="9A1209B6"/>
    <w:lvl w:ilvl="0">
      <w:start w:val="6"/>
      <w:numFmt w:val="bullet"/>
      <w:lvlText w:val="-"/>
      <w:lvlJc w:val="left"/>
      <w:pPr>
        <w:tabs>
          <w:tab w:val="num" w:pos="0"/>
        </w:tabs>
        <w:ind w:left="1154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1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5E4663"/>
    <w:multiLevelType w:val="multilevel"/>
    <w:tmpl w:val="F3E8C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C684067"/>
    <w:multiLevelType w:val="multilevel"/>
    <w:tmpl w:val="BEF8A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C274AA6"/>
    <w:multiLevelType w:val="multilevel"/>
    <w:tmpl w:val="266EC0E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AC"/>
    <w:rsid w:val="008F3920"/>
    <w:rsid w:val="009B5AD4"/>
    <w:rsid w:val="00C917E5"/>
    <w:rsid w:val="00E4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68CC"/>
  <w15:docId w15:val="{5B811BBC-CB93-4FDD-9B8F-F829FF95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  <w:qFormat/>
  </w:style>
  <w:style w:type="paragraph" w:styleId="Puest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styleId="Prrafodelista">
    <w:name w:val="List Paragraph"/>
    <w:basedOn w:val="Normal"/>
    <w:uiPriority w:val="34"/>
    <w:qFormat/>
    <w:rsid w:val="00B66B0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971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PPD SA</dc:creator>
  <dc:description/>
  <cp:lastModifiedBy>Manini Ríos, Guido</cp:lastModifiedBy>
  <cp:revision>2</cp:revision>
  <cp:lastPrinted>2022-09-02T09:29:00Z</cp:lastPrinted>
  <dcterms:created xsi:type="dcterms:W3CDTF">2022-09-05T21:53:00Z</dcterms:created>
  <dcterms:modified xsi:type="dcterms:W3CDTF">2022-09-05T21:53:00Z</dcterms:modified>
  <dc:language>es-UY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